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4849" w:rsidRPr="00D4084D" w:rsidRDefault="00672163">
      <w:pPr>
        <w:rPr>
          <w:b/>
          <w:sz w:val="32"/>
          <w:szCs w:val="32"/>
        </w:rPr>
      </w:pPr>
      <w:r w:rsidRPr="00D4084D">
        <w:rPr>
          <w:b/>
          <w:sz w:val="32"/>
          <w:szCs w:val="32"/>
        </w:rPr>
        <w:t>Exploitation research:</w:t>
      </w:r>
    </w:p>
    <w:p w:rsidR="00A55078" w:rsidRDefault="00672163" w:rsidP="0009450A">
      <w:pPr>
        <w:shd w:val="clear" w:color="auto" w:fill="FFE599" w:themeFill="accent4" w:themeFillTint="66"/>
        <w:rPr>
          <w:color w:val="000000"/>
        </w:rPr>
      </w:pPr>
      <w:r w:rsidRPr="00203E47">
        <w:rPr>
          <w:b/>
          <w:color w:val="000000"/>
          <w:shd w:val="clear" w:color="auto" w:fill="FFE599" w:themeFill="accent4" w:themeFillTint="66"/>
        </w:rPr>
        <w:t>Transitional safeguardin</w:t>
      </w:r>
      <w:r w:rsidR="0009450A">
        <w:rPr>
          <w:b/>
          <w:color w:val="000000"/>
          <w:shd w:val="clear" w:color="auto" w:fill="FFE599" w:themeFill="accent4" w:themeFillTint="66"/>
        </w:rPr>
        <w:t>g from adolescence to adulthood</w:t>
      </w:r>
      <w:r w:rsidR="0009450A" w:rsidRPr="0009450A">
        <w:t xml:space="preserve"> </w:t>
      </w:r>
      <w:r w:rsidR="0009450A">
        <w:t xml:space="preserve">published </w:t>
      </w:r>
      <w:r w:rsidR="00D742C9">
        <w:t xml:space="preserve">by </w:t>
      </w:r>
      <w:r w:rsidR="00D742C9">
        <w:rPr>
          <w:color w:val="000000"/>
          <w:shd w:val="clear" w:color="auto" w:fill="FFE599" w:themeFill="accent4" w:themeFillTint="66"/>
        </w:rPr>
        <w:t>Research</w:t>
      </w:r>
      <w:r w:rsidR="0009450A" w:rsidRPr="002534B5">
        <w:t xml:space="preserve"> in Practice </w:t>
      </w:r>
      <w:r w:rsidR="0009450A">
        <w:t>in 2018</w:t>
      </w:r>
    </w:p>
    <w:p w:rsidR="00A5700A" w:rsidRDefault="00672163">
      <w:pPr>
        <w:rPr>
          <w:color w:val="000000"/>
        </w:rPr>
      </w:pPr>
      <w:r>
        <w:rPr>
          <w:color w:val="000000"/>
        </w:rPr>
        <w:t xml:space="preserve">This brief report </w:t>
      </w:r>
      <w:r w:rsidR="002C24BB">
        <w:rPr>
          <w:color w:val="000000"/>
        </w:rPr>
        <w:t xml:space="preserve">from Dez Holmes </w:t>
      </w:r>
      <w:r w:rsidR="00A5700A">
        <w:rPr>
          <w:color w:val="000000"/>
        </w:rPr>
        <w:t>identifies:</w:t>
      </w:r>
    </w:p>
    <w:p w:rsidR="00672163" w:rsidRPr="00A5700A" w:rsidRDefault="00A5700A" w:rsidP="00A5700A">
      <w:pPr>
        <w:pStyle w:val="ListParagraph"/>
        <w:numPr>
          <w:ilvl w:val="0"/>
          <w:numId w:val="1"/>
        </w:numPr>
      </w:pPr>
      <w:r>
        <w:rPr>
          <w:color w:val="000000"/>
        </w:rPr>
        <w:t>the</w:t>
      </w:r>
      <w:r w:rsidR="00672163" w:rsidRPr="00A5700A">
        <w:rPr>
          <w:color w:val="000000"/>
        </w:rPr>
        <w:t xml:space="preserve"> </w:t>
      </w:r>
      <w:r w:rsidR="00672163" w:rsidRPr="00D4084D">
        <w:rPr>
          <w:b/>
          <w:color w:val="000000"/>
        </w:rPr>
        <w:t>increased focus</w:t>
      </w:r>
      <w:r w:rsidR="00672163" w:rsidRPr="00A5700A">
        <w:rPr>
          <w:color w:val="000000"/>
        </w:rPr>
        <w:t xml:space="preserve"> on violent crime, gang culture, domestic abuse, modern slavery, trafficking and sexual exploitation requiring local areas to adapt and innovate in how they safeguard young people and adults.</w:t>
      </w:r>
    </w:p>
    <w:p w:rsidR="00A5700A" w:rsidRDefault="00A5700A" w:rsidP="00A5700A">
      <w:pPr>
        <w:pStyle w:val="ListParagraph"/>
        <w:numPr>
          <w:ilvl w:val="0"/>
          <w:numId w:val="1"/>
        </w:numPr>
      </w:pPr>
      <w:r w:rsidRPr="00A5700A">
        <w:t xml:space="preserve">the </w:t>
      </w:r>
      <w:r w:rsidRPr="00D4084D">
        <w:rPr>
          <w:b/>
        </w:rPr>
        <w:t>experience of adversity in childhood</w:t>
      </w:r>
      <w:r w:rsidRPr="00A5700A">
        <w:t xml:space="preserve"> can make some adolescents particularly vulnerable to harm and that the effects of such harm can persist into adulthood. This means that there will likely be a proportion of adolescents who either need to transition directly into receiving support from Adults’ Services, or who are more likely to require them later in life. </w:t>
      </w:r>
    </w:p>
    <w:p w:rsidR="00A5700A" w:rsidRDefault="00A5700A" w:rsidP="00A5700A">
      <w:pPr>
        <w:pStyle w:val="ListParagraph"/>
        <w:numPr>
          <w:ilvl w:val="0"/>
          <w:numId w:val="1"/>
        </w:numPr>
      </w:pPr>
      <w:r>
        <w:t>that r</w:t>
      </w:r>
      <w:r w:rsidRPr="00A5700A">
        <w:t xml:space="preserve">esearch shows that </w:t>
      </w:r>
      <w:r w:rsidRPr="00D4084D">
        <w:rPr>
          <w:b/>
        </w:rPr>
        <w:t>unresolved trauma</w:t>
      </w:r>
      <w:r w:rsidRPr="00A5700A">
        <w:t xml:space="preserve"> can increase risks later in adulthood, and we know that not responding to harms in early adulthood can mean that people have more difficult and painful </w:t>
      </w:r>
      <w:proofErr w:type="gramStart"/>
      <w:r w:rsidRPr="00A5700A">
        <w:t>lives, and</w:t>
      </w:r>
      <w:proofErr w:type="gramEnd"/>
      <w:r w:rsidRPr="00A5700A">
        <w:t xml:space="preserve"> may need more expensive support later</w:t>
      </w:r>
      <w:r>
        <w:t>.</w:t>
      </w:r>
    </w:p>
    <w:p w:rsidR="00A5700A" w:rsidRDefault="00A5700A" w:rsidP="00A5700A">
      <w:pPr>
        <w:pStyle w:val="ListParagraph"/>
        <w:numPr>
          <w:ilvl w:val="0"/>
          <w:numId w:val="1"/>
        </w:numPr>
      </w:pPr>
      <w:r>
        <w:t>that i</w:t>
      </w:r>
      <w:r w:rsidRPr="00A5700A">
        <w:t xml:space="preserve">t is increasingly hard to justify </w:t>
      </w:r>
      <w:r>
        <w:t>the</w:t>
      </w:r>
      <w:r w:rsidRPr="00A5700A">
        <w:t xml:space="preserve"> current binary approach to safeguarding, where childhood reaches an abrupt end and services withdraw from young adults based on </w:t>
      </w:r>
      <w:r w:rsidRPr="00D4084D">
        <w:rPr>
          <w:b/>
        </w:rPr>
        <w:t>arbitrary markers such as birthdays</w:t>
      </w:r>
      <w:r w:rsidRPr="00A5700A">
        <w:t>.</w:t>
      </w:r>
    </w:p>
    <w:p w:rsidR="00A5700A" w:rsidRDefault="00A5700A" w:rsidP="00A5700A">
      <w:pPr>
        <w:pStyle w:val="ListParagraph"/>
        <w:numPr>
          <w:ilvl w:val="0"/>
          <w:numId w:val="1"/>
        </w:numPr>
      </w:pPr>
      <w:r w:rsidRPr="00A5700A">
        <w:t>that perpetrators do not withdraw when a victim reaches 18 years old – but that professional services often do.</w:t>
      </w:r>
    </w:p>
    <w:p w:rsidR="00A5700A" w:rsidRDefault="00A5700A" w:rsidP="00A5700A">
      <w:pPr>
        <w:pStyle w:val="ListParagraph"/>
        <w:numPr>
          <w:ilvl w:val="0"/>
          <w:numId w:val="1"/>
        </w:numPr>
      </w:pPr>
      <w:r w:rsidRPr="00A5700A">
        <w:t>some studies suggest that emotional regulation and executive functioning in the brain are still developing well into the 20s (Sawyer, et al 2018).</w:t>
      </w:r>
    </w:p>
    <w:p w:rsidR="00A5700A" w:rsidRDefault="00A5700A" w:rsidP="00A5700A">
      <w:pPr>
        <w:pStyle w:val="ListParagraph"/>
        <w:numPr>
          <w:ilvl w:val="0"/>
          <w:numId w:val="1"/>
        </w:numPr>
      </w:pPr>
      <w:r w:rsidRPr="00A5700A">
        <w:t xml:space="preserve">some important </w:t>
      </w:r>
      <w:r w:rsidRPr="00D4084D">
        <w:rPr>
          <w:b/>
        </w:rPr>
        <w:t>differences in children and adult services</w:t>
      </w:r>
      <w:r w:rsidRPr="00A5700A">
        <w:t>. For example, the children’s system is more focused on welfare and emphasises protection of children from harm and risk management approaches. Whereas for adults, the focus is arguable more oriented to wellbeing and includes the concept of risk enablement.</w:t>
      </w:r>
    </w:p>
    <w:p w:rsidR="00A5700A" w:rsidRDefault="00A5700A" w:rsidP="00A5700A">
      <w:pPr>
        <w:pStyle w:val="ListParagraph"/>
        <w:numPr>
          <w:ilvl w:val="0"/>
          <w:numId w:val="1"/>
        </w:numPr>
      </w:pPr>
      <w:r>
        <w:t>t</w:t>
      </w:r>
      <w:r w:rsidRPr="00A5700A">
        <w:t>he so called ‘</w:t>
      </w:r>
      <w:r w:rsidRPr="00D4084D">
        <w:rPr>
          <w:b/>
        </w:rPr>
        <w:t>cliff edge’</w:t>
      </w:r>
      <w:r w:rsidRPr="00A5700A">
        <w:t xml:space="preserve"> exacerbated by mismatched thresholds </w:t>
      </w:r>
    </w:p>
    <w:p w:rsidR="00672163" w:rsidRDefault="00A5700A" w:rsidP="00310A94">
      <w:pPr>
        <w:pStyle w:val="ListParagraph"/>
        <w:numPr>
          <w:ilvl w:val="0"/>
          <w:numId w:val="1"/>
        </w:numPr>
      </w:pPr>
      <w:r>
        <w:t>m</w:t>
      </w:r>
      <w:r w:rsidRPr="00A5700A">
        <w:t xml:space="preserve">any young adults </w:t>
      </w:r>
      <w:r w:rsidRPr="00D4084D">
        <w:rPr>
          <w:b/>
        </w:rPr>
        <w:t>will not qualify for a safeguarding response</w:t>
      </w:r>
      <w:r w:rsidRPr="00A5700A">
        <w:t xml:space="preserve"> as they do not have an identified care and support need, yet evidence shows that they can experience a range of harms and threats which can lead to increased adversity over time. </w:t>
      </w:r>
    </w:p>
    <w:p w:rsidR="00D4084D" w:rsidRDefault="006B2FE2" w:rsidP="00D4084D">
      <w:hyperlink r:id="rId7" w:history="1">
        <w:r w:rsidR="00D4084D" w:rsidRPr="00BC45C7">
          <w:rPr>
            <w:rStyle w:val="Hyperlink"/>
          </w:rPr>
          <w:t>https://www.researchinpractice.org.uk/all/news-views/2018/august/transitional-safeguarding-from-adolescence-to-adulthood/</w:t>
        </w:r>
      </w:hyperlink>
    </w:p>
    <w:p w:rsidR="003F78D3" w:rsidRPr="00D22C8F" w:rsidRDefault="003F78D3" w:rsidP="0009450A">
      <w:pPr>
        <w:shd w:val="clear" w:color="auto" w:fill="FFE599" w:themeFill="accent4" w:themeFillTint="66"/>
        <w:rPr>
          <w:color w:val="000000"/>
        </w:rPr>
      </w:pPr>
      <w:r w:rsidRPr="00203E47">
        <w:rPr>
          <w:b/>
          <w:color w:val="000000"/>
          <w:shd w:val="clear" w:color="auto" w:fill="FFE599" w:themeFill="accent4" w:themeFillTint="66"/>
        </w:rPr>
        <w:t>Improving awareness of sexual exploitation among adults</w:t>
      </w:r>
      <w:r w:rsidR="0009450A" w:rsidRPr="0009450A">
        <w:rPr>
          <w:color w:val="000000"/>
        </w:rPr>
        <w:t xml:space="preserve"> published</w:t>
      </w:r>
      <w:r w:rsidR="0009450A">
        <w:rPr>
          <w:color w:val="000000"/>
        </w:rPr>
        <w:t xml:space="preserve"> by Research in Practice</w:t>
      </w:r>
      <w:r w:rsidR="001A317A">
        <w:rPr>
          <w:color w:val="000000"/>
        </w:rPr>
        <w:t xml:space="preserve"> 2018</w:t>
      </w:r>
    </w:p>
    <w:p w:rsidR="00D22C8F" w:rsidRDefault="00D22C8F" w:rsidP="00D4084D">
      <w:r>
        <w:t xml:space="preserve">Rosie </w:t>
      </w:r>
      <w:r w:rsidRPr="00D22C8F">
        <w:t>McNamara</w:t>
      </w:r>
      <w:r>
        <w:t xml:space="preserve"> article on Research in Practice </w:t>
      </w:r>
      <w:r w:rsidRPr="00D22C8F">
        <w:t>explores the topic of sexual exploitation by looking through the definitions, identified risk factors and effects.</w:t>
      </w:r>
      <w:r>
        <w:t xml:space="preserve">  This brief article identifies:</w:t>
      </w:r>
    </w:p>
    <w:p w:rsidR="00D22C8F" w:rsidRDefault="00D22C8F" w:rsidP="00D22C8F">
      <w:pPr>
        <w:pStyle w:val="ListParagraph"/>
        <w:numPr>
          <w:ilvl w:val="0"/>
          <w:numId w:val="2"/>
        </w:numPr>
      </w:pPr>
      <w:r w:rsidRPr="00D22C8F">
        <w:t xml:space="preserve">Sexual exploitation of adults is </w:t>
      </w:r>
      <w:r w:rsidRPr="002534B5">
        <w:rPr>
          <w:b/>
        </w:rPr>
        <w:t>not new</w:t>
      </w:r>
      <w:r w:rsidRPr="00D22C8F">
        <w:t xml:space="preserve">, but of late there seems to be a </w:t>
      </w:r>
      <w:r w:rsidRPr="002534B5">
        <w:rPr>
          <w:b/>
        </w:rPr>
        <w:t>greater drive to discuss and understand</w:t>
      </w:r>
      <w:r w:rsidRPr="00D22C8F">
        <w:t xml:space="preserve"> it</w:t>
      </w:r>
    </w:p>
    <w:p w:rsidR="00D22C8F" w:rsidRDefault="002534B5" w:rsidP="002534B5">
      <w:pPr>
        <w:pStyle w:val="ListParagraph"/>
        <w:numPr>
          <w:ilvl w:val="0"/>
          <w:numId w:val="2"/>
        </w:numPr>
      </w:pPr>
      <w:r w:rsidRPr="002534B5">
        <w:rPr>
          <w:b/>
        </w:rPr>
        <w:t>I</w:t>
      </w:r>
      <w:r w:rsidR="00D22C8F" w:rsidRPr="002534B5">
        <w:rPr>
          <w:b/>
        </w:rPr>
        <w:t>dentified factors that increase the risk of sexual exploitation in adulthood</w:t>
      </w:r>
      <w:r>
        <w:t xml:space="preserve"> include</w:t>
      </w:r>
      <w:r w:rsidR="00D22C8F">
        <w:t>:</w:t>
      </w:r>
    </w:p>
    <w:p w:rsidR="00D22C8F" w:rsidRDefault="00D22C8F" w:rsidP="00D22C8F">
      <w:pPr>
        <w:pStyle w:val="ListParagraph"/>
        <w:numPr>
          <w:ilvl w:val="1"/>
          <w:numId w:val="2"/>
        </w:numPr>
      </w:pPr>
      <w:r>
        <w:t>homelessness</w:t>
      </w:r>
    </w:p>
    <w:p w:rsidR="00D22C8F" w:rsidRDefault="00D22C8F" w:rsidP="00D22C8F">
      <w:pPr>
        <w:pStyle w:val="ListParagraph"/>
        <w:numPr>
          <w:ilvl w:val="1"/>
          <w:numId w:val="2"/>
        </w:numPr>
      </w:pPr>
      <w:r>
        <w:t>use of drugs or alcohol</w:t>
      </w:r>
    </w:p>
    <w:p w:rsidR="00D22C8F" w:rsidRDefault="00D22C8F" w:rsidP="00D22C8F">
      <w:pPr>
        <w:pStyle w:val="ListParagraph"/>
        <w:numPr>
          <w:ilvl w:val="1"/>
          <w:numId w:val="2"/>
        </w:numPr>
      </w:pPr>
      <w:r>
        <w:t>lack of mental capacity to consent to sexual activity</w:t>
      </w:r>
    </w:p>
    <w:p w:rsidR="00D22C8F" w:rsidRDefault="00D22C8F" w:rsidP="00D22C8F">
      <w:pPr>
        <w:pStyle w:val="ListParagraph"/>
        <w:numPr>
          <w:ilvl w:val="1"/>
          <w:numId w:val="2"/>
        </w:numPr>
      </w:pPr>
      <w:r>
        <w:t>human trafficking</w:t>
      </w:r>
    </w:p>
    <w:p w:rsidR="00D22C8F" w:rsidRDefault="00D22C8F" w:rsidP="00D22C8F">
      <w:pPr>
        <w:pStyle w:val="ListParagraph"/>
        <w:numPr>
          <w:ilvl w:val="1"/>
          <w:numId w:val="2"/>
        </w:numPr>
      </w:pPr>
      <w:r>
        <w:t>sexual abuse during childhood.</w:t>
      </w:r>
    </w:p>
    <w:p w:rsidR="00D22C8F" w:rsidRDefault="00D22C8F" w:rsidP="00D22C8F">
      <w:pPr>
        <w:pStyle w:val="ListParagraph"/>
        <w:numPr>
          <w:ilvl w:val="0"/>
          <w:numId w:val="2"/>
        </w:numPr>
      </w:pPr>
      <w:r w:rsidRPr="00D22C8F">
        <w:t>When providing support, it is important to remember that those who exploit are always misusing their power (whether financial, physical or psychological) to abuse.</w:t>
      </w:r>
    </w:p>
    <w:p w:rsidR="002534B5" w:rsidRDefault="002534B5" w:rsidP="002534B5">
      <w:pPr>
        <w:pStyle w:val="ListParagraph"/>
        <w:numPr>
          <w:ilvl w:val="0"/>
          <w:numId w:val="2"/>
        </w:numPr>
      </w:pPr>
      <w:r w:rsidRPr="002534B5">
        <w:t xml:space="preserve">An individual who has been sexually exploited as an adult or in childhood is </w:t>
      </w:r>
      <w:r w:rsidRPr="002534B5">
        <w:rPr>
          <w:b/>
        </w:rPr>
        <w:t>more likely to experience poor mental health</w:t>
      </w:r>
      <w:r w:rsidRPr="002534B5">
        <w:t>.</w:t>
      </w:r>
    </w:p>
    <w:p w:rsidR="002534B5" w:rsidRPr="00D22C8F" w:rsidRDefault="002534B5" w:rsidP="002534B5">
      <w:pPr>
        <w:pStyle w:val="ListParagraph"/>
        <w:numPr>
          <w:ilvl w:val="0"/>
          <w:numId w:val="2"/>
        </w:numPr>
      </w:pPr>
      <w:r w:rsidRPr="002534B5">
        <w:t>Lack of awareness and misconceptions around the sexual exploitation of adults can contribute to ongoing trauma for those affected by it; but the right information, advice and support has the potential to be the first step towards safety, healing and prevention</w:t>
      </w:r>
      <w:r>
        <w:t>.</w:t>
      </w:r>
    </w:p>
    <w:p w:rsidR="003F78D3" w:rsidRDefault="006B2FE2" w:rsidP="00D4084D">
      <w:hyperlink r:id="rId8" w:history="1">
        <w:r w:rsidR="002534B5" w:rsidRPr="00AC717C">
          <w:rPr>
            <w:rStyle w:val="Hyperlink"/>
          </w:rPr>
          <w:t>https://www.researchinpractice.org.uk/adults/news-views/2018/may/improving-awareness-of-sexual-exploitation-among-adults/</w:t>
        </w:r>
      </w:hyperlink>
      <w:r w:rsidR="002534B5">
        <w:t xml:space="preserve"> </w:t>
      </w:r>
    </w:p>
    <w:p w:rsidR="00D4084D" w:rsidRDefault="003F78D3" w:rsidP="0009450A">
      <w:pPr>
        <w:shd w:val="clear" w:color="auto" w:fill="FFE599" w:themeFill="accent4" w:themeFillTint="66"/>
        <w:rPr>
          <w:b/>
          <w:color w:val="000000"/>
        </w:rPr>
      </w:pPr>
      <w:r w:rsidRPr="00203E47">
        <w:rPr>
          <w:b/>
          <w:color w:val="000000"/>
          <w:shd w:val="clear" w:color="auto" w:fill="FFE599" w:themeFill="accent4" w:themeFillTint="66"/>
        </w:rPr>
        <w:t>The quest to understand the sexual exploitation and mental health of adults</w:t>
      </w:r>
      <w:r w:rsidR="0009450A" w:rsidRPr="0009450A">
        <w:rPr>
          <w:color w:val="000000"/>
        </w:rPr>
        <w:t xml:space="preserve"> </w:t>
      </w:r>
      <w:r w:rsidR="0009450A">
        <w:rPr>
          <w:color w:val="000000"/>
        </w:rPr>
        <w:t xml:space="preserve">- </w:t>
      </w:r>
      <w:r w:rsidR="0009450A" w:rsidRPr="0009450A">
        <w:rPr>
          <w:color w:val="000000"/>
        </w:rPr>
        <w:t xml:space="preserve">published </w:t>
      </w:r>
      <w:r w:rsidR="0009450A">
        <w:rPr>
          <w:color w:val="000000"/>
        </w:rPr>
        <w:t xml:space="preserve">by </w:t>
      </w:r>
      <w:r w:rsidR="0009450A" w:rsidRPr="002534B5">
        <w:rPr>
          <w:color w:val="000000"/>
        </w:rPr>
        <w:t>Research in Practice</w:t>
      </w:r>
      <w:r w:rsidR="001A317A">
        <w:rPr>
          <w:color w:val="000000"/>
        </w:rPr>
        <w:t xml:space="preserve"> 2018</w:t>
      </w:r>
    </w:p>
    <w:p w:rsidR="00203E47" w:rsidRDefault="002534B5" w:rsidP="00D4084D">
      <w:pPr>
        <w:rPr>
          <w:color w:val="000000"/>
        </w:rPr>
      </w:pPr>
      <w:r w:rsidRPr="002534B5">
        <w:rPr>
          <w:color w:val="000000"/>
        </w:rPr>
        <w:t>Jessica Eaton</w:t>
      </w:r>
      <w:r>
        <w:rPr>
          <w:color w:val="000000"/>
        </w:rPr>
        <w:t xml:space="preserve">’s article on Research in Practice website suggests they are </w:t>
      </w:r>
      <w:r w:rsidRPr="002534B5">
        <w:rPr>
          <w:color w:val="000000"/>
        </w:rPr>
        <w:t xml:space="preserve">committed to moving towards a </w:t>
      </w:r>
      <w:r w:rsidRPr="00203E47">
        <w:rPr>
          <w:b/>
          <w:color w:val="000000"/>
        </w:rPr>
        <w:t>trauma-informed model</w:t>
      </w:r>
      <w:r w:rsidRPr="002534B5">
        <w:rPr>
          <w:color w:val="000000"/>
        </w:rPr>
        <w:t xml:space="preserve"> of working with people in need. </w:t>
      </w:r>
    </w:p>
    <w:p w:rsidR="00203E47" w:rsidRDefault="00203E47" w:rsidP="00203E47">
      <w:pPr>
        <w:pStyle w:val="ListParagraph"/>
        <w:numPr>
          <w:ilvl w:val="0"/>
          <w:numId w:val="3"/>
        </w:numPr>
        <w:rPr>
          <w:color w:val="000000"/>
        </w:rPr>
      </w:pPr>
      <w:r w:rsidRPr="00203E47">
        <w:rPr>
          <w:color w:val="000000"/>
        </w:rPr>
        <w:t>Adults</w:t>
      </w:r>
      <w:r w:rsidR="002534B5" w:rsidRPr="00203E47">
        <w:rPr>
          <w:color w:val="000000"/>
        </w:rPr>
        <w:t xml:space="preserve"> </w:t>
      </w:r>
      <w:r>
        <w:rPr>
          <w:color w:val="000000"/>
        </w:rPr>
        <w:t>will</w:t>
      </w:r>
      <w:r w:rsidR="002534B5" w:rsidRPr="00203E47">
        <w:rPr>
          <w:color w:val="000000"/>
        </w:rPr>
        <w:t xml:space="preserve"> have experienced </w:t>
      </w:r>
      <w:r w:rsidR="002534B5" w:rsidRPr="00203E47">
        <w:rPr>
          <w:b/>
          <w:color w:val="000000"/>
        </w:rPr>
        <w:t>cumulative traumas</w:t>
      </w:r>
      <w:r w:rsidR="002534B5" w:rsidRPr="00203E47">
        <w:rPr>
          <w:color w:val="000000"/>
        </w:rPr>
        <w:t xml:space="preserve">, oppression and discrimination, dangerous environments and exploitative contexts that led to trauma responses, coping mechanisms and survival behaviours. </w:t>
      </w:r>
    </w:p>
    <w:p w:rsidR="00203E47" w:rsidRDefault="00203E47" w:rsidP="00203E47">
      <w:pPr>
        <w:pStyle w:val="ListParagraph"/>
        <w:numPr>
          <w:ilvl w:val="0"/>
          <w:numId w:val="3"/>
        </w:numPr>
        <w:rPr>
          <w:color w:val="000000"/>
        </w:rPr>
      </w:pPr>
      <w:r>
        <w:rPr>
          <w:color w:val="000000"/>
        </w:rPr>
        <w:t xml:space="preserve">A trauma informed approach </w:t>
      </w:r>
      <w:r w:rsidR="002534B5" w:rsidRPr="00203E47">
        <w:rPr>
          <w:color w:val="000000"/>
        </w:rPr>
        <w:t xml:space="preserve">promotes the </w:t>
      </w:r>
      <w:r w:rsidR="002534B5" w:rsidRPr="00203E47">
        <w:rPr>
          <w:b/>
          <w:color w:val="000000"/>
        </w:rPr>
        <w:t xml:space="preserve">reduction of stigma </w:t>
      </w:r>
      <w:r w:rsidR="002534B5" w:rsidRPr="00203E47">
        <w:rPr>
          <w:color w:val="000000"/>
        </w:rPr>
        <w:t>and</w:t>
      </w:r>
      <w:r w:rsidR="002534B5" w:rsidRPr="00203E47">
        <w:rPr>
          <w:b/>
          <w:color w:val="000000"/>
        </w:rPr>
        <w:t xml:space="preserve"> victim blaming</w:t>
      </w:r>
      <w:r w:rsidR="002534B5" w:rsidRPr="00203E47">
        <w:rPr>
          <w:color w:val="000000"/>
        </w:rPr>
        <w:t xml:space="preserve"> of adults who have experienced traumas and exploitation by refocusing practitioners on the exploitative context and oppression the adult tried to survive within. </w:t>
      </w:r>
    </w:p>
    <w:p w:rsidR="002534B5" w:rsidRDefault="00203E47" w:rsidP="00203E47">
      <w:pPr>
        <w:pStyle w:val="ListParagraph"/>
        <w:numPr>
          <w:ilvl w:val="0"/>
          <w:numId w:val="3"/>
        </w:numPr>
        <w:rPr>
          <w:color w:val="000000"/>
        </w:rPr>
      </w:pPr>
      <w:r>
        <w:rPr>
          <w:color w:val="000000"/>
        </w:rPr>
        <w:t>It a</w:t>
      </w:r>
      <w:r w:rsidR="002534B5" w:rsidRPr="00203E47">
        <w:rPr>
          <w:color w:val="000000"/>
        </w:rPr>
        <w:t xml:space="preserve">lso </w:t>
      </w:r>
      <w:r>
        <w:rPr>
          <w:color w:val="000000"/>
        </w:rPr>
        <w:t xml:space="preserve">helps </w:t>
      </w:r>
      <w:r w:rsidR="002534B5" w:rsidRPr="00203E47">
        <w:rPr>
          <w:color w:val="000000"/>
        </w:rPr>
        <w:t>to deconstruct the misunderstanding that adults can ‘</w:t>
      </w:r>
      <w:r w:rsidR="002534B5" w:rsidRPr="00203E47">
        <w:rPr>
          <w:b/>
          <w:color w:val="000000"/>
        </w:rPr>
        <w:t>consent’</w:t>
      </w:r>
      <w:r w:rsidR="002534B5" w:rsidRPr="00203E47">
        <w:rPr>
          <w:color w:val="000000"/>
        </w:rPr>
        <w:t xml:space="preserve"> or ‘</w:t>
      </w:r>
      <w:r w:rsidR="002534B5" w:rsidRPr="00203E47">
        <w:rPr>
          <w:b/>
          <w:color w:val="000000"/>
        </w:rPr>
        <w:t>choose’</w:t>
      </w:r>
      <w:r w:rsidR="002534B5" w:rsidRPr="00203E47">
        <w:rPr>
          <w:color w:val="000000"/>
        </w:rPr>
        <w:t xml:space="preserve"> to be sexually exploited.</w:t>
      </w:r>
    </w:p>
    <w:p w:rsidR="00203E47" w:rsidRPr="00203E47" w:rsidRDefault="00203E47" w:rsidP="00203E47">
      <w:pPr>
        <w:pStyle w:val="ListParagraph"/>
        <w:numPr>
          <w:ilvl w:val="0"/>
          <w:numId w:val="3"/>
        </w:numPr>
        <w:rPr>
          <w:color w:val="000000"/>
        </w:rPr>
      </w:pPr>
      <w:r w:rsidRPr="00203E47">
        <w:rPr>
          <w:color w:val="000000"/>
        </w:rPr>
        <w:t xml:space="preserve">There was very </w:t>
      </w:r>
      <w:r w:rsidRPr="00203E47">
        <w:rPr>
          <w:b/>
          <w:color w:val="000000"/>
        </w:rPr>
        <w:t>little research</w:t>
      </w:r>
      <w:r w:rsidRPr="00203E47">
        <w:rPr>
          <w:color w:val="000000"/>
        </w:rPr>
        <w:t xml:space="preserve"> exploring the best way to work with adults who had experienced trauma in sexual exploitation and much further research was needed.</w:t>
      </w:r>
    </w:p>
    <w:p w:rsidR="003F78D3" w:rsidRDefault="006B2FE2" w:rsidP="00D4084D">
      <w:hyperlink r:id="rId9" w:history="1">
        <w:r w:rsidR="003F78D3" w:rsidRPr="00920525">
          <w:rPr>
            <w:rStyle w:val="Hyperlink"/>
          </w:rPr>
          <w:t>https://www.researchinpractice.org.uk/adults/news-views/2018/may/the-quest-to-understand-the-sexual-exploitation-and-mental-health-of-adults/</w:t>
        </w:r>
      </w:hyperlink>
    </w:p>
    <w:p w:rsidR="003F78D3" w:rsidRDefault="003F78D3" w:rsidP="0009450A">
      <w:pPr>
        <w:shd w:val="clear" w:color="auto" w:fill="FFE599" w:themeFill="accent4" w:themeFillTint="66"/>
        <w:rPr>
          <w:color w:val="000000"/>
        </w:rPr>
      </w:pPr>
      <w:r w:rsidRPr="00A55078">
        <w:rPr>
          <w:b/>
          <w:color w:val="000000"/>
          <w:shd w:val="clear" w:color="auto" w:fill="FFE599" w:themeFill="accent4" w:themeFillTint="66"/>
        </w:rPr>
        <w:t>Sexual exploitation and mental health: Frontline Briefing</w:t>
      </w:r>
      <w:r w:rsidRPr="003F78D3">
        <w:rPr>
          <w:b/>
          <w:color w:val="000000"/>
        </w:rPr>
        <w:t xml:space="preserve"> </w:t>
      </w:r>
      <w:r w:rsidR="0009450A">
        <w:t xml:space="preserve">published by </w:t>
      </w:r>
      <w:r w:rsidR="0009450A" w:rsidRPr="00203E47">
        <w:rPr>
          <w:color w:val="000000"/>
        </w:rPr>
        <w:t xml:space="preserve">Research in Practice </w:t>
      </w:r>
      <w:r w:rsidR="0009450A">
        <w:rPr>
          <w:color w:val="000000"/>
        </w:rPr>
        <w:t>published in 2018</w:t>
      </w:r>
    </w:p>
    <w:p w:rsidR="00A55078" w:rsidRPr="003F78D3" w:rsidRDefault="00A55078" w:rsidP="00D4084D">
      <w:pPr>
        <w:rPr>
          <w:b/>
          <w:color w:val="000000"/>
        </w:rPr>
      </w:pPr>
      <w:r>
        <w:rPr>
          <w:color w:val="000000"/>
        </w:rPr>
        <w:t xml:space="preserve">This Briefing from Research in Practice looks like it might be very </w:t>
      </w:r>
      <w:proofErr w:type="gramStart"/>
      <w:r>
        <w:rPr>
          <w:color w:val="000000"/>
        </w:rPr>
        <w:t>good</w:t>
      </w:r>
      <w:proofErr w:type="gramEnd"/>
      <w:r>
        <w:rPr>
          <w:color w:val="000000"/>
        </w:rPr>
        <w:t xml:space="preserve"> but it is not a free resource (£12).  It suggests</w:t>
      </w:r>
      <w:r w:rsidRPr="00A55078">
        <w:rPr>
          <w:color w:val="000000"/>
        </w:rPr>
        <w:t xml:space="preserve"> sexual exploitation ranges from so-called ‘survival sex’, in which a person may perform sexual acts for basic needs such as food, shelter, water, clothing or transport, right the way through to adults who are in exploitative contexts such as sex work, prostitution and escorting, mail-order bride services, ‘revenge porn’, domestic servitude and human trafficking for the purposes of sex</w:t>
      </w:r>
      <w:r>
        <w:rPr>
          <w:color w:val="000000"/>
        </w:rPr>
        <w:t>.</w:t>
      </w:r>
    </w:p>
    <w:p w:rsidR="003F78D3" w:rsidRDefault="006B2FE2" w:rsidP="00D4084D">
      <w:hyperlink r:id="rId10" w:history="1">
        <w:r w:rsidR="003F78D3" w:rsidRPr="00920525">
          <w:rPr>
            <w:rStyle w:val="Hyperlink"/>
          </w:rPr>
          <w:t>https://www.researchinpractice.org.uk/adults/publications/2018/march/sexual-exploitation-and-mental-health-frontline-briefing-2018/</w:t>
        </w:r>
      </w:hyperlink>
    </w:p>
    <w:p w:rsidR="003F78D3" w:rsidRDefault="003F78D3" w:rsidP="0009450A">
      <w:pPr>
        <w:shd w:val="clear" w:color="auto" w:fill="FFE599" w:themeFill="accent4" w:themeFillTint="66"/>
      </w:pPr>
      <w:r w:rsidRPr="002C24BB">
        <w:rPr>
          <w:b/>
          <w:shd w:val="clear" w:color="auto" w:fill="FFE599" w:themeFill="accent4" w:themeFillTint="66"/>
        </w:rPr>
        <w:t>Criminal Exploitation of children and vulnerable adults: County Lines guidance</w:t>
      </w:r>
      <w:r>
        <w:t xml:space="preserve"> </w:t>
      </w:r>
      <w:r w:rsidR="0009450A">
        <w:t xml:space="preserve">published </w:t>
      </w:r>
      <w:r w:rsidR="0009450A" w:rsidRPr="00A55078">
        <w:t xml:space="preserve">Home Office </w:t>
      </w:r>
      <w:r w:rsidR="0009450A">
        <w:t>in September 2018</w:t>
      </w:r>
    </w:p>
    <w:p w:rsidR="003F78D3" w:rsidRDefault="00A55078" w:rsidP="00D4084D">
      <w:r>
        <w:t xml:space="preserve">This Home Office guidance </w:t>
      </w:r>
      <w:r w:rsidRPr="00A55078">
        <w:t>is primarily aimed at frontline staff who work with children, young people and potentially vulnerable adults.</w:t>
      </w:r>
    </w:p>
    <w:p w:rsidR="00A55078" w:rsidRDefault="00A55078" w:rsidP="00D4084D">
      <w:r w:rsidRPr="00A55078">
        <w:t>This guidance is intended to explain the nature of this harm to enable practitioners to recognise its signs and respond appropriately so that potential victims get the support and help they need.</w:t>
      </w:r>
    </w:p>
    <w:p w:rsidR="00A55078" w:rsidRDefault="006B2FE2" w:rsidP="00D4084D">
      <w:hyperlink r:id="rId11" w:history="1">
        <w:r w:rsidR="00A55078" w:rsidRPr="00AC717C">
          <w:rPr>
            <w:rStyle w:val="Hyperlink"/>
          </w:rPr>
          <w:t>https://www.gov.uk/government/publications/criminal-exploitation-of-children-and-vulnerable-adults-county-lines/criminal-exploitation-of-children-and-vulnerable-adults-county-lines</w:t>
        </w:r>
      </w:hyperlink>
      <w:r w:rsidR="00A55078">
        <w:t xml:space="preserve"> </w:t>
      </w:r>
    </w:p>
    <w:p w:rsidR="003F78D3" w:rsidRDefault="003F78D3" w:rsidP="0009450A">
      <w:pPr>
        <w:shd w:val="clear" w:color="auto" w:fill="FFE599" w:themeFill="accent4" w:themeFillTint="66"/>
      </w:pPr>
      <w:r w:rsidRPr="002C24BB">
        <w:rPr>
          <w:b/>
          <w:shd w:val="clear" w:color="auto" w:fill="FFE599" w:themeFill="accent4" w:themeFillTint="66"/>
        </w:rPr>
        <w:t>Exploitation does not stop at 18’: chief social workers highlight gap in support for young adult victims</w:t>
      </w:r>
      <w:r>
        <w:t xml:space="preserve"> </w:t>
      </w:r>
      <w:r w:rsidRPr="002C24BB">
        <w:t xml:space="preserve">– </w:t>
      </w:r>
      <w:r w:rsidR="0009450A">
        <w:t xml:space="preserve">Community Care Article published in </w:t>
      </w:r>
      <w:r w:rsidR="002C24BB" w:rsidRPr="002C24BB">
        <w:t>March 2020</w:t>
      </w:r>
    </w:p>
    <w:p w:rsidR="002C24BB" w:rsidRDefault="002C24BB" w:rsidP="00D4084D">
      <w:r>
        <w:t xml:space="preserve">This article states - </w:t>
      </w:r>
      <w:r w:rsidRPr="002C24BB">
        <w:t>A lack of understanding and restrictive interpretations of the Care Act mean support often falls off a cliff for victims of criminal or sexual exploita</w:t>
      </w:r>
      <w:r>
        <w:t>tion when they reach adulthood.</w:t>
      </w:r>
    </w:p>
    <w:p w:rsidR="002C24BB" w:rsidRPr="00B00D57" w:rsidRDefault="002C24BB" w:rsidP="00D4084D">
      <w:pPr>
        <w:rPr>
          <w:shd w:val="clear" w:color="auto" w:fill="FFFFFF"/>
        </w:rPr>
      </w:pPr>
      <w:r>
        <w:t xml:space="preserve">This article quote Samantha Keith - </w:t>
      </w:r>
      <w:r w:rsidRPr="002C24BB">
        <w:rPr>
          <w:shd w:val="clear" w:color="auto" w:fill="FFFFFF"/>
        </w:rPr>
        <w:t xml:space="preserve">“The Care Act states it’s for adults with ‘care and support needs’, so people who have difficulties with personal care, managing within the home and within the community; that means if you’re somebody who’s been </w:t>
      </w:r>
      <w:r w:rsidRPr="00B00D57">
        <w:rPr>
          <w:shd w:val="clear" w:color="auto" w:fill="FFFFFF"/>
        </w:rPr>
        <w:t>abused and exploited as a young person, you don’t qualify explicitly as someone with care and support needs.”</w:t>
      </w:r>
      <w:r w:rsidRPr="00B00D57">
        <w:t xml:space="preserve"> </w:t>
      </w:r>
    </w:p>
    <w:p w:rsidR="002C24BB" w:rsidRPr="00B00D57" w:rsidRDefault="002C24BB" w:rsidP="00D4084D">
      <w:pPr>
        <w:rPr>
          <w:shd w:val="clear" w:color="auto" w:fill="FFFFFF"/>
        </w:rPr>
      </w:pPr>
      <w:r w:rsidRPr="00B00D57">
        <w:t xml:space="preserve">This article also quotes Des </w:t>
      </w:r>
      <w:r w:rsidRPr="00B00D57">
        <w:rPr>
          <w:shd w:val="clear" w:color="auto" w:fill="FFFFFF"/>
        </w:rPr>
        <w:t>Holmes whose recent research suggests adolescence extends to the mid-20s.</w:t>
      </w:r>
    </w:p>
    <w:p w:rsidR="002C24BB" w:rsidRDefault="006B2FE2" w:rsidP="00D4084D">
      <w:hyperlink r:id="rId12" w:history="1">
        <w:r w:rsidR="002C24BB" w:rsidRPr="00AC717C">
          <w:rPr>
            <w:rStyle w:val="Hyperlink"/>
          </w:rPr>
          <w:t>https://www.communitycare.co.uk/2020/03/24/exploitation-stop-18-chief-social-workers-highlight-gap-support-young-adult-victims/</w:t>
        </w:r>
      </w:hyperlink>
    </w:p>
    <w:p w:rsidR="0099535D" w:rsidRDefault="002C24BB" w:rsidP="0009450A">
      <w:pPr>
        <w:shd w:val="clear" w:color="auto" w:fill="FFE599" w:themeFill="accent4" w:themeFillTint="66"/>
      </w:pPr>
      <w:r w:rsidRPr="002C24BB">
        <w:rPr>
          <w:b/>
        </w:rPr>
        <w:t>Chief Social Workers’ annual report: 2019 to 2020</w:t>
      </w:r>
      <w:r>
        <w:rPr>
          <w:b/>
        </w:rPr>
        <w:t xml:space="preserve"> </w:t>
      </w:r>
      <w:r w:rsidRPr="002C24BB">
        <w:t>published March 2020</w:t>
      </w:r>
      <w:r w:rsidR="0099535D">
        <w:t xml:space="preserve">  </w:t>
      </w:r>
    </w:p>
    <w:p w:rsidR="0099535D" w:rsidRDefault="0099535D" w:rsidP="00D4084D">
      <w:r>
        <w:t>The Chief Social Workers annual report states “i</w:t>
      </w:r>
      <w:r w:rsidRPr="0099535D">
        <w:t>t has been positive to see this subject aired more widely, but we still have some way to go in adult social care to understand how to respond to sexual and criminal exploitation</w:t>
      </w:r>
      <w:r>
        <w:t>.</w:t>
      </w:r>
    </w:p>
    <w:p w:rsidR="0099535D" w:rsidRDefault="0099535D" w:rsidP="00D4084D">
      <w:r w:rsidRPr="0099535D">
        <w:t>It is important to remember this does not stop at eighteen and is not an issue which children’s services can tackle alone - our safeguarding services need a different response. Unfortunately, they are often configured in ways which do not support young people after the age of eighteen unless they have a disability.</w:t>
      </w:r>
    </w:p>
    <w:p w:rsidR="0099535D" w:rsidRDefault="0099535D" w:rsidP="0099535D">
      <w:r>
        <w:t>We need to be well-educated about trauma-informed practice. Over the coming months, we will:</w:t>
      </w:r>
    </w:p>
    <w:p w:rsidR="0099535D" w:rsidRDefault="0099535D" w:rsidP="0099535D"/>
    <w:p w:rsidR="0099535D" w:rsidRDefault="0099535D" w:rsidP="0099535D">
      <w:pPr>
        <w:pStyle w:val="ListParagraph"/>
        <w:numPr>
          <w:ilvl w:val="0"/>
          <w:numId w:val="4"/>
        </w:numPr>
      </w:pPr>
      <w:r>
        <w:t>hold a roundtable event with national experts to discuss this growing issue</w:t>
      </w:r>
    </w:p>
    <w:p w:rsidR="0099535D" w:rsidRDefault="0099535D" w:rsidP="0099535D">
      <w:pPr>
        <w:pStyle w:val="ListParagraph"/>
        <w:numPr>
          <w:ilvl w:val="0"/>
          <w:numId w:val="4"/>
        </w:numPr>
      </w:pPr>
      <w:r>
        <w:t>produce a practice note for social workers</w:t>
      </w:r>
    </w:p>
    <w:p w:rsidR="0099535D" w:rsidRDefault="0099535D" w:rsidP="00385D8E">
      <w:pPr>
        <w:pStyle w:val="ListParagraph"/>
        <w:numPr>
          <w:ilvl w:val="0"/>
          <w:numId w:val="4"/>
        </w:numPr>
      </w:pPr>
      <w:r>
        <w:t>produce guidance for adult safeguarding teams”.</w:t>
      </w:r>
    </w:p>
    <w:p w:rsidR="0099535D" w:rsidRDefault="006B2FE2" w:rsidP="00D4084D">
      <w:hyperlink r:id="rId13" w:history="1">
        <w:r w:rsidR="0099535D" w:rsidRPr="00AC717C">
          <w:rPr>
            <w:rStyle w:val="Hyperlink"/>
          </w:rPr>
          <w:t>https://www.gov.uk/government/publications/chief-social-workers-for-adults-annual-report-2019-to-2020/chief-social-workers-annual-report-2019-to-2020</w:t>
        </w:r>
      </w:hyperlink>
      <w:r w:rsidR="0099535D">
        <w:t xml:space="preserve"> </w:t>
      </w:r>
    </w:p>
    <w:p w:rsidR="003F78D3" w:rsidRDefault="00561914" w:rsidP="0009450A">
      <w:pPr>
        <w:shd w:val="clear" w:color="auto" w:fill="FFE599" w:themeFill="accent4" w:themeFillTint="66"/>
      </w:pPr>
      <w:r w:rsidRPr="0099535D">
        <w:rPr>
          <w:b/>
          <w:shd w:val="clear" w:color="auto" w:fill="FFE599" w:themeFill="accent4" w:themeFillTint="66"/>
        </w:rPr>
        <w:t xml:space="preserve">Sexual </w:t>
      </w:r>
      <w:r w:rsidRPr="0009450A">
        <w:rPr>
          <w:b/>
          <w:shd w:val="clear" w:color="auto" w:fill="FFE599" w:themeFill="accent4" w:themeFillTint="66"/>
        </w:rPr>
        <w:t xml:space="preserve">Exploitation </w:t>
      </w:r>
      <w:r w:rsidR="00B10236" w:rsidRPr="0009450A">
        <w:rPr>
          <w:b/>
          <w:shd w:val="clear" w:color="auto" w:fill="FFE599" w:themeFill="accent4" w:themeFillTint="66"/>
        </w:rPr>
        <w:t>the Journey into Adulthood it does not stop because you turn 18</w:t>
      </w:r>
      <w:r w:rsidR="00B10236" w:rsidRPr="0009450A">
        <w:rPr>
          <w:shd w:val="clear" w:color="auto" w:fill="FFE599" w:themeFill="accent4" w:themeFillTint="66"/>
        </w:rPr>
        <w:t xml:space="preserve"> </w:t>
      </w:r>
      <w:r w:rsidR="0009450A" w:rsidRPr="0009450A">
        <w:rPr>
          <w:shd w:val="clear" w:color="auto" w:fill="FFE599" w:themeFill="accent4" w:themeFillTint="66"/>
        </w:rPr>
        <w:t>published by NWG in 2018</w:t>
      </w:r>
    </w:p>
    <w:p w:rsidR="00282B74" w:rsidRDefault="0099535D" w:rsidP="0099535D">
      <w:r>
        <w:t>This report identifies the key findings from the Summary of (C)SE Transition</w:t>
      </w:r>
      <w:r w:rsidR="00282B74">
        <w:t xml:space="preserve"> </w:t>
      </w:r>
      <w:r>
        <w:t>between Children and Adult</w:t>
      </w:r>
      <w:r w:rsidR="00282B74">
        <w:t xml:space="preserve"> </w:t>
      </w:r>
      <w:r>
        <w:t>Services forms which were</w:t>
      </w:r>
      <w:r w:rsidR="00282B74">
        <w:t xml:space="preserve"> </w:t>
      </w:r>
      <w:r>
        <w:t>returned to the NWG by</w:t>
      </w:r>
      <w:r w:rsidR="00282B74">
        <w:t xml:space="preserve"> </w:t>
      </w:r>
      <w:r>
        <w:t>members of the electronic</w:t>
      </w:r>
      <w:r w:rsidR="00282B74">
        <w:t xml:space="preserve"> working group on transition. </w:t>
      </w:r>
    </w:p>
    <w:p w:rsidR="00282B74" w:rsidRDefault="00282B74" w:rsidP="0099535D">
      <w:r>
        <w:t>In 2018 it found:</w:t>
      </w:r>
    </w:p>
    <w:p w:rsidR="00282B74" w:rsidRDefault="00282B74" w:rsidP="00D24B05">
      <w:pPr>
        <w:pStyle w:val="ListParagraph"/>
        <w:numPr>
          <w:ilvl w:val="0"/>
          <w:numId w:val="5"/>
        </w:numPr>
      </w:pPr>
      <w:r>
        <w:t>there is a need for areas to review and develop transitional arrangements between Adult and Children’s services for those who are victims of, or who are at risk of sexual exploitation.</w:t>
      </w:r>
    </w:p>
    <w:p w:rsidR="00282B74" w:rsidRDefault="00282B74" w:rsidP="00212686">
      <w:pPr>
        <w:pStyle w:val="ListParagraph"/>
        <w:numPr>
          <w:ilvl w:val="0"/>
          <w:numId w:val="5"/>
        </w:numPr>
      </w:pPr>
      <w:r>
        <w:t>that vulnerable children and young adults are not getting the support that they need and are potentially “falling through the net”.</w:t>
      </w:r>
    </w:p>
    <w:p w:rsidR="005F60BD" w:rsidRDefault="005F60BD" w:rsidP="008334C5">
      <w:pPr>
        <w:pStyle w:val="ListParagraph"/>
        <w:numPr>
          <w:ilvl w:val="0"/>
          <w:numId w:val="5"/>
        </w:numPr>
      </w:pPr>
      <w:r>
        <w:t xml:space="preserve">Numbers across the country making the transition are very low and demonstrates the need for this area to be a priority. </w:t>
      </w:r>
    </w:p>
    <w:p w:rsidR="005F60BD" w:rsidRDefault="005F60BD" w:rsidP="005F60BD">
      <w:pPr>
        <w:pStyle w:val="ListParagraph"/>
        <w:numPr>
          <w:ilvl w:val="0"/>
          <w:numId w:val="5"/>
        </w:numPr>
      </w:pPr>
      <w:r>
        <w:t>There was a sense of frustration from both Children and Adult Services that current transitional practice needs to improve but legislation and traditional ways of working were not helpful.</w:t>
      </w:r>
    </w:p>
    <w:p w:rsidR="0099535D" w:rsidRDefault="006B2FE2" w:rsidP="00561914">
      <w:hyperlink r:id="rId14" w:history="1">
        <w:r w:rsidR="0099535D" w:rsidRPr="00AC717C">
          <w:rPr>
            <w:rStyle w:val="Hyperlink"/>
          </w:rPr>
          <w:t>http://www.nwgnetwork.org/wp-content/uploads/2018/06/NWG-Report-Sexual-Exploitation-the-Journey-into-Adulthood-May-2018-1.pdf</w:t>
        </w:r>
      </w:hyperlink>
    </w:p>
    <w:p w:rsidR="005F60BD" w:rsidRPr="005F63B4" w:rsidRDefault="005F63B4" w:rsidP="005F63B4">
      <w:pPr>
        <w:shd w:val="clear" w:color="auto" w:fill="FFE599" w:themeFill="accent4" w:themeFillTint="66"/>
      </w:pPr>
      <w:r w:rsidRPr="005F63B4">
        <w:rPr>
          <w:b/>
        </w:rPr>
        <w:t>A</w:t>
      </w:r>
      <w:r w:rsidR="00B10236" w:rsidRPr="005F63B4">
        <w:rPr>
          <w:b/>
        </w:rPr>
        <w:t xml:space="preserve"> Joint Serious Case Review to consider and learn from sexual exploitation involving children and young adults in Newcastle</w:t>
      </w:r>
      <w:r w:rsidR="00B10236">
        <w:t xml:space="preserve"> </w:t>
      </w:r>
      <w:r w:rsidRPr="005F60BD">
        <w:t xml:space="preserve">published </w:t>
      </w:r>
      <w:r>
        <w:t>by t</w:t>
      </w:r>
      <w:r w:rsidRPr="005F63B4">
        <w:t xml:space="preserve">he Newcastle Safeguarding Adults Board (NSAB) and the Newcastle Safeguarding Children Board (NSCB) </w:t>
      </w:r>
      <w:r>
        <w:t>in February 2018</w:t>
      </w:r>
    </w:p>
    <w:p w:rsidR="005F60BD" w:rsidRDefault="005F60BD" w:rsidP="00D4084D">
      <w:r>
        <w:t>This</w:t>
      </w:r>
      <w:r w:rsidRPr="005F60BD">
        <w:t xml:space="preserve"> Review highlighted </w:t>
      </w:r>
    </w:p>
    <w:p w:rsidR="005F60BD" w:rsidRDefault="005F60BD" w:rsidP="00D4084D">
      <w:pPr>
        <w:pStyle w:val="ListParagraph"/>
        <w:numPr>
          <w:ilvl w:val="0"/>
          <w:numId w:val="6"/>
        </w:numPr>
      </w:pPr>
      <w:r w:rsidRPr="005F60BD">
        <w:t xml:space="preserve">the complex nature of Sexual Exploitation - the extreme and long-lasting impact it has on victims; the difficulties in identifying and preventing the exploitation; the intense and lengthy support that is required to gain the trust of victims to help them understand that what they have experienced is exploitation and enable them </w:t>
      </w:r>
      <w:r>
        <w:t>to talk about their experiences.</w:t>
      </w:r>
    </w:p>
    <w:p w:rsidR="005F60BD" w:rsidRDefault="005F60BD" w:rsidP="00D4084D">
      <w:pPr>
        <w:pStyle w:val="ListParagraph"/>
        <w:numPr>
          <w:ilvl w:val="0"/>
          <w:numId w:val="6"/>
        </w:numPr>
      </w:pPr>
      <w:r w:rsidRPr="005F60BD">
        <w:t>Tackling sexual exploitation must address the perpetrators – not only preventing their activities but understanding their motivation.</w:t>
      </w:r>
    </w:p>
    <w:p w:rsidR="005F60BD" w:rsidRDefault="005F60BD" w:rsidP="00D4084D">
      <w:r>
        <w:t>The Review made 18 recommendations for local implementation and 15 recommendations for National consideration and implementation.</w:t>
      </w:r>
    </w:p>
    <w:p w:rsidR="003F78D3" w:rsidRDefault="006B2FE2" w:rsidP="00D4084D">
      <w:hyperlink r:id="rId15" w:history="1">
        <w:r w:rsidR="00B10236" w:rsidRPr="00920525">
          <w:rPr>
            <w:rStyle w:val="Hyperlink"/>
          </w:rPr>
          <w:t>https://www.nscb.org.uk/joint-serious-case-review-concerning-sexual-exploitation-newcastle</w:t>
        </w:r>
      </w:hyperlink>
      <w:r w:rsidR="00B10236">
        <w:t xml:space="preserve"> </w:t>
      </w:r>
    </w:p>
    <w:p w:rsidR="00AB74E0" w:rsidRDefault="00AB74E0" w:rsidP="00D92E79">
      <w:pPr>
        <w:shd w:val="clear" w:color="auto" w:fill="FFE599" w:themeFill="accent4" w:themeFillTint="66"/>
        <w:autoSpaceDE w:val="0"/>
        <w:autoSpaceDN w:val="0"/>
        <w:adjustRightInd w:val="0"/>
        <w:spacing w:after="0" w:line="240" w:lineRule="auto"/>
      </w:pPr>
      <w:r w:rsidRPr="00AB74E0">
        <w:rPr>
          <w:b/>
        </w:rPr>
        <w:t>Boys and Young Men at Risk of Sexual Exploitation – A Toolkit for Professionals</w:t>
      </w:r>
      <w:r>
        <w:t xml:space="preserve"> published by </w:t>
      </w:r>
      <w:r w:rsidRPr="00AB74E0">
        <w:t>The Childrens Society, Victim Support an</w:t>
      </w:r>
      <w:r>
        <w:t xml:space="preserve">d National Police Chief Council in March 2018.  </w:t>
      </w:r>
    </w:p>
    <w:p w:rsidR="00AB74E0" w:rsidRDefault="00AB74E0" w:rsidP="00AB74E0">
      <w:pPr>
        <w:autoSpaceDE w:val="0"/>
        <w:autoSpaceDN w:val="0"/>
        <w:adjustRightInd w:val="0"/>
        <w:spacing w:after="0" w:line="240" w:lineRule="auto"/>
      </w:pPr>
    </w:p>
    <w:p w:rsidR="00AB74E0" w:rsidRDefault="00AB74E0" w:rsidP="00AB74E0">
      <w:pPr>
        <w:autoSpaceDE w:val="0"/>
        <w:autoSpaceDN w:val="0"/>
        <w:adjustRightInd w:val="0"/>
        <w:spacing w:after="0" w:line="240" w:lineRule="auto"/>
      </w:pPr>
      <w:r w:rsidRPr="00AB74E0">
        <w:t>This toolkit explores some of the factors relating to the sexual exploitation of boys and young men. It considers risks and vulnerabilities they face, the barriers they may face in engaging with interventions and presents practice tips to improve identification, reporting and protection. The guide will be useful for professionals when working with children and young people, their families and communities. It can be used to inform good practice and support regional strategies and action plans in relation to sexual exploitation.</w:t>
      </w:r>
    </w:p>
    <w:p w:rsidR="00AB74E0" w:rsidRDefault="00AB74E0" w:rsidP="00AB74E0">
      <w:pPr>
        <w:autoSpaceDE w:val="0"/>
        <w:autoSpaceDN w:val="0"/>
        <w:adjustRightInd w:val="0"/>
        <w:spacing w:after="0" w:line="240" w:lineRule="auto"/>
      </w:pPr>
    </w:p>
    <w:p w:rsidR="00AB74E0" w:rsidRDefault="006B2FE2" w:rsidP="00AB74E0">
      <w:pPr>
        <w:autoSpaceDE w:val="0"/>
        <w:autoSpaceDN w:val="0"/>
        <w:adjustRightInd w:val="0"/>
        <w:spacing w:after="0" w:line="240" w:lineRule="auto"/>
      </w:pPr>
      <w:hyperlink r:id="rId16" w:history="1">
        <w:r w:rsidR="00AB74E0" w:rsidRPr="00381336">
          <w:rPr>
            <w:rStyle w:val="Hyperlink"/>
          </w:rPr>
          <w:t>https://www.csepoliceandprevention.org.uk/sites/default/files/Boys%20and%20Young%20Men%20Toolkit.pdf</w:t>
        </w:r>
      </w:hyperlink>
    </w:p>
    <w:p w:rsidR="00AB74E0" w:rsidRDefault="00AB74E0" w:rsidP="00AB74E0">
      <w:pPr>
        <w:autoSpaceDE w:val="0"/>
        <w:autoSpaceDN w:val="0"/>
        <w:adjustRightInd w:val="0"/>
        <w:spacing w:after="0" w:line="240" w:lineRule="auto"/>
      </w:pPr>
    </w:p>
    <w:p w:rsidR="00AB74E0" w:rsidRPr="00AB74E0" w:rsidRDefault="00AB74E0" w:rsidP="00AB74E0">
      <w:pPr>
        <w:autoSpaceDE w:val="0"/>
        <w:autoSpaceDN w:val="0"/>
        <w:adjustRightInd w:val="0"/>
        <w:spacing w:after="0" w:line="240" w:lineRule="auto"/>
      </w:pPr>
    </w:p>
    <w:p w:rsidR="00672163" w:rsidRPr="00D742C9" w:rsidRDefault="00CB23DE" w:rsidP="00D742C9">
      <w:pPr>
        <w:shd w:val="clear" w:color="auto" w:fill="538135" w:themeFill="accent6" w:themeFillShade="BF"/>
        <w:rPr>
          <w:b/>
          <w:color w:val="FFFFFF" w:themeColor="background1"/>
          <w:sz w:val="28"/>
          <w:szCs w:val="28"/>
        </w:rPr>
      </w:pPr>
      <w:r w:rsidRPr="00D742C9">
        <w:rPr>
          <w:b/>
          <w:color w:val="FFFFFF" w:themeColor="background1"/>
          <w:sz w:val="28"/>
          <w:szCs w:val="28"/>
        </w:rPr>
        <w:t>Resources</w:t>
      </w:r>
    </w:p>
    <w:p w:rsidR="00D132A2" w:rsidRDefault="00D132A2">
      <w:pPr>
        <w:rPr>
          <w:b/>
          <w:sz w:val="28"/>
          <w:szCs w:val="28"/>
        </w:rPr>
      </w:pPr>
      <w:r>
        <w:rPr>
          <w:b/>
          <w:sz w:val="28"/>
          <w:szCs w:val="28"/>
        </w:rPr>
        <w:t>Exploitation Strategies</w:t>
      </w:r>
    </w:p>
    <w:p w:rsidR="00D132A2" w:rsidRDefault="00D132A2" w:rsidP="00D132A2">
      <w:pPr>
        <w:shd w:val="clear" w:color="auto" w:fill="C5E0B3" w:themeFill="accent6" w:themeFillTint="66"/>
      </w:pPr>
      <w:r w:rsidRPr="00A36BD4">
        <w:rPr>
          <w:b/>
        </w:rPr>
        <w:t>Harrow</w:t>
      </w:r>
      <w:r>
        <w:t xml:space="preserve"> - </w:t>
      </w:r>
      <w:r w:rsidRPr="00D132A2">
        <w:rPr>
          <w:b/>
        </w:rPr>
        <w:t>Community Safety, Violence Vulnerability and Exploitation Strategy 2019 – 2020</w:t>
      </w:r>
      <w:r>
        <w:t xml:space="preserve"> </w:t>
      </w:r>
    </w:p>
    <w:p w:rsidR="00D132A2" w:rsidRDefault="00A36BD4" w:rsidP="00D132A2">
      <w:r>
        <w:t xml:space="preserve">Produced by the </w:t>
      </w:r>
      <w:r w:rsidR="00D132A2">
        <w:t xml:space="preserve">Community Safety </w:t>
      </w:r>
      <w:r w:rsidR="00CD2F06">
        <w:t>P</w:t>
      </w:r>
      <w:r w:rsidR="00D132A2">
        <w:t xml:space="preserve">artnership board – 81 pages </w:t>
      </w:r>
    </w:p>
    <w:p w:rsidR="00D132A2" w:rsidRDefault="00D132A2" w:rsidP="00D132A2">
      <w:r>
        <w:t xml:space="preserve">Covers High Harm Crime - Youth Violence, Weapon Based Crime, Vulnerability &amp; Exploitation, Modern Slavery, Female Genital Mutilation, Domestic and Sexual Abuse, Drug and Alcohol Misuse and Extremism and Hate </w:t>
      </w:r>
      <w:r w:rsidR="00AD61AB">
        <w:t>Crime</w:t>
      </w:r>
      <w:r>
        <w:t>.</w:t>
      </w:r>
    </w:p>
    <w:p w:rsidR="00D132A2" w:rsidRDefault="006B2FE2" w:rsidP="00D132A2">
      <w:hyperlink r:id="rId17" w:history="1">
        <w:r w:rsidR="00D132A2" w:rsidRPr="00373929">
          <w:rPr>
            <w:rStyle w:val="Hyperlink"/>
          </w:rPr>
          <w:t>https://www2.harrow.gov.uk/documents/s156674/Community%20Safety%20VVE%20Strategy%20Annual%20Refresh%202019.pdf</w:t>
        </w:r>
      </w:hyperlink>
    </w:p>
    <w:p w:rsidR="00AD4EDD" w:rsidRDefault="00D132A2" w:rsidP="00AD4EDD">
      <w:pPr>
        <w:shd w:val="clear" w:color="auto" w:fill="C5E0B3" w:themeFill="accent6" w:themeFillTint="66"/>
        <w:autoSpaceDE w:val="0"/>
        <w:autoSpaceDN w:val="0"/>
        <w:adjustRightInd w:val="0"/>
        <w:spacing w:after="0" w:line="240" w:lineRule="auto"/>
      </w:pPr>
      <w:r w:rsidRPr="00D132A2">
        <w:rPr>
          <w:b/>
        </w:rPr>
        <w:t>Luton</w:t>
      </w:r>
      <w:r>
        <w:t xml:space="preserve"> - </w:t>
      </w:r>
      <w:r w:rsidRPr="00D132A2">
        <w:rPr>
          <w:b/>
          <w:bCs/>
        </w:rPr>
        <w:t>Ending Adult</w:t>
      </w:r>
      <w:r>
        <w:rPr>
          <w:b/>
          <w:bCs/>
        </w:rPr>
        <w:t xml:space="preserve"> </w:t>
      </w:r>
      <w:r w:rsidRPr="00D132A2">
        <w:rPr>
          <w:b/>
          <w:bCs/>
        </w:rPr>
        <w:t>Exploitation Strategy</w:t>
      </w:r>
    </w:p>
    <w:p w:rsidR="00AD4EDD" w:rsidRDefault="00AD4EDD" w:rsidP="00AD4EDD">
      <w:pPr>
        <w:shd w:val="clear" w:color="auto" w:fill="FFFFFF" w:themeFill="background1"/>
        <w:autoSpaceDE w:val="0"/>
        <w:autoSpaceDN w:val="0"/>
        <w:adjustRightInd w:val="0"/>
        <w:spacing w:after="0" w:line="240" w:lineRule="auto"/>
      </w:pPr>
    </w:p>
    <w:p w:rsidR="00D132A2" w:rsidRDefault="00AD4EDD" w:rsidP="00AD4EDD">
      <w:pPr>
        <w:shd w:val="clear" w:color="auto" w:fill="FFFFFF" w:themeFill="background1"/>
        <w:autoSpaceDE w:val="0"/>
        <w:autoSpaceDN w:val="0"/>
        <w:adjustRightInd w:val="0"/>
        <w:spacing w:after="0" w:line="240" w:lineRule="auto"/>
      </w:pPr>
      <w:r>
        <w:t>Joint strategy Adult Safeguarding Board and Community Safety Partnership. Only 8 pages!</w:t>
      </w:r>
      <w:r>
        <w:br/>
      </w:r>
      <w:r>
        <w:br/>
      </w:r>
      <w:hyperlink r:id="rId18" w:history="1">
        <w:r w:rsidR="00D132A2" w:rsidRPr="00347C43">
          <w:rPr>
            <w:rStyle w:val="Hyperlink"/>
          </w:rPr>
          <w:t>https://www.luton.gov.uk/Community_and_living/Lists/LutonDocuments/PDF/Adult-exploitation-strategy.pdf</w:t>
        </w:r>
      </w:hyperlink>
    </w:p>
    <w:p w:rsidR="00D132A2" w:rsidRDefault="00D132A2" w:rsidP="00D132A2"/>
    <w:p w:rsidR="00AD4EDD" w:rsidRPr="00AD4EDD" w:rsidRDefault="00AD4EDD" w:rsidP="00AD4EDD">
      <w:pPr>
        <w:shd w:val="clear" w:color="auto" w:fill="C5E0B3" w:themeFill="accent6" w:themeFillTint="66"/>
        <w:rPr>
          <w:b/>
        </w:rPr>
      </w:pPr>
      <w:r w:rsidRPr="00AD4EDD">
        <w:rPr>
          <w:b/>
        </w:rPr>
        <w:t>Northumberland -Sexual and Criminal Exploitation Strategy for Northumberland 2019 - 2022</w:t>
      </w:r>
    </w:p>
    <w:p w:rsidR="00AD4EDD" w:rsidRDefault="00AD4EDD" w:rsidP="00D132A2">
      <w:r>
        <w:t>Produced by the Children’s Board and the Adult’s Safeguarding Board – 29 pages.</w:t>
      </w:r>
    </w:p>
    <w:p w:rsidR="00D132A2" w:rsidRDefault="006B2FE2" w:rsidP="00D132A2">
      <w:pPr>
        <w:rPr>
          <w:rStyle w:val="Hyperlink"/>
        </w:rPr>
      </w:pPr>
      <w:hyperlink r:id="rId19" w:history="1">
        <w:r w:rsidR="00D132A2" w:rsidRPr="00347C43">
          <w:rPr>
            <w:rStyle w:val="Hyperlink"/>
          </w:rPr>
          <w:t>https://www.northumberland.gov.uk/NorthumberlandCountyCouncil/media/Child-Families/Safeguarding/Sexual-and-Criminal-Exploitation-Strategy-for-Northumberland-2019-2022-1.pdf</w:t>
        </w:r>
      </w:hyperlink>
    </w:p>
    <w:p w:rsidR="00B60374" w:rsidRDefault="00B60374" w:rsidP="00D132A2">
      <w:pPr>
        <w:rPr>
          <w:rStyle w:val="Hyperlink"/>
        </w:rPr>
      </w:pPr>
    </w:p>
    <w:p w:rsidR="00AD61AB" w:rsidRPr="005F63B4" w:rsidRDefault="00AD61AB" w:rsidP="00AD61AB">
      <w:pPr>
        <w:pStyle w:val="Default"/>
        <w:shd w:val="clear" w:color="auto" w:fill="C5E0B3" w:themeFill="accent6" w:themeFillTint="66"/>
        <w:rPr>
          <w:rFonts w:ascii="Arial" w:hAnsi="Arial" w:cs="Arial"/>
        </w:rPr>
      </w:pPr>
      <w:r w:rsidRPr="00932484">
        <w:rPr>
          <w:rFonts w:ascii="Arial" w:hAnsi="Arial" w:cs="Arial"/>
          <w:b/>
        </w:rPr>
        <w:t xml:space="preserve">Manchester’s Complex Safeguarding Strategy 2020 – 2023 </w:t>
      </w:r>
      <w:r>
        <w:rPr>
          <w:rFonts w:ascii="Arial" w:hAnsi="Arial" w:cs="Arial"/>
          <w:b/>
        </w:rPr>
        <w:t xml:space="preserve">- </w:t>
      </w:r>
      <w:r w:rsidRPr="00932484">
        <w:rPr>
          <w:rFonts w:ascii="Arial" w:hAnsi="Arial" w:cs="Arial"/>
          <w:b/>
        </w:rPr>
        <w:t>Manchester Safeguarding Partnership</w:t>
      </w:r>
      <w:r>
        <w:rPr>
          <w:rFonts w:ascii="Arial" w:hAnsi="Arial" w:cs="Arial"/>
          <w:b/>
        </w:rPr>
        <w:t xml:space="preserve"> </w:t>
      </w:r>
      <w:r>
        <w:rPr>
          <w:rFonts w:ascii="Arial" w:hAnsi="Arial" w:cs="Arial"/>
          <w:b/>
        </w:rPr>
        <w:br/>
      </w:r>
    </w:p>
    <w:p w:rsidR="00AD61AB" w:rsidRDefault="00AD61AB" w:rsidP="00AD61AB">
      <w:pPr>
        <w:pStyle w:val="Default"/>
        <w:rPr>
          <w:rFonts w:ascii="Arial" w:hAnsi="Arial" w:cs="Arial"/>
        </w:rPr>
      </w:pPr>
      <w:r>
        <w:rPr>
          <w:rFonts w:ascii="Arial" w:hAnsi="Arial" w:cs="Arial"/>
        </w:rPr>
        <w:t>Produced by Manchester Safeguarding partnership which I think is the LSCP and SAB</w:t>
      </w:r>
      <w:r w:rsidR="00A36BD4">
        <w:rPr>
          <w:rFonts w:ascii="Arial" w:hAnsi="Arial" w:cs="Arial"/>
        </w:rPr>
        <w:t>.  16 pages.</w:t>
      </w:r>
    </w:p>
    <w:p w:rsidR="00AD61AB" w:rsidRDefault="00AD61AB" w:rsidP="00AD61AB">
      <w:pPr>
        <w:pStyle w:val="Default"/>
        <w:rPr>
          <w:rFonts w:ascii="Arial" w:hAnsi="Arial" w:cs="Arial"/>
        </w:rPr>
      </w:pPr>
    </w:p>
    <w:p w:rsidR="00AD61AB" w:rsidRPr="00932484" w:rsidRDefault="00AD61AB" w:rsidP="00AD61AB">
      <w:pPr>
        <w:pStyle w:val="Default"/>
        <w:rPr>
          <w:rFonts w:ascii="Arial" w:hAnsi="Arial" w:cs="Arial"/>
        </w:rPr>
      </w:pPr>
      <w:r w:rsidRPr="00932484">
        <w:rPr>
          <w:rFonts w:ascii="Arial" w:hAnsi="Arial" w:cs="Arial"/>
        </w:rPr>
        <w:t>Complex Safeguarding is a term used to describe Criminal Activity (often organised), or behaviour associated with criminality, involving children and adults where there is exploitation and/or a clear or implied safeguarding concern.</w:t>
      </w:r>
      <w:r>
        <w:rPr>
          <w:rFonts w:ascii="Arial" w:hAnsi="Arial" w:cs="Arial"/>
        </w:rPr>
        <w:t xml:space="preserve">  </w:t>
      </w:r>
      <w:r w:rsidRPr="00932484">
        <w:rPr>
          <w:rFonts w:ascii="Arial" w:hAnsi="Arial" w:cs="Arial"/>
        </w:rPr>
        <w:t xml:space="preserve">This strategy </w:t>
      </w:r>
      <w:r>
        <w:rPr>
          <w:rFonts w:ascii="Arial" w:hAnsi="Arial" w:cs="Arial"/>
        </w:rPr>
        <w:t>sets out</w:t>
      </w:r>
      <w:r w:rsidRPr="00932484">
        <w:rPr>
          <w:rFonts w:ascii="Arial" w:hAnsi="Arial" w:cs="Arial"/>
        </w:rPr>
        <w:t xml:space="preserve"> </w:t>
      </w:r>
      <w:r>
        <w:rPr>
          <w:rFonts w:ascii="Arial" w:hAnsi="Arial" w:cs="Arial"/>
        </w:rPr>
        <w:t>Manchester’s</w:t>
      </w:r>
      <w:r w:rsidRPr="00932484">
        <w:rPr>
          <w:rFonts w:ascii="Arial" w:hAnsi="Arial" w:cs="Arial"/>
        </w:rPr>
        <w:t xml:space="preserve"> way of working and tackling the exploitation of chi</w:t>
      </w:r>
      <w:r w:rsidR="00A36BD4">
        <w:rPr>
          <w:rFonts w:ascii="Arial" w:hAnsi="Arial" w:cs="Arial"/>
        </w:rPr>
        <w:t>ldren and adults in Manchester.</w:t>
      </w:r>
      <w:r w:rsidRPr="00932484">
        <w:rPr>
          <w:rFonts w:ascii="Arial" w:hAnsi="Arial" w:cs="Arial"/>
          <w:b/>
        </w:rPr>
        <w:br/>
      </w:r>
      <w:hyperlink r:id="rId20" w:history="1">
        <w:r w:rsidRPr="00932484">
          <w:rPr>
            <w:rStyle w:val="Hyperlink"/>
            <w:rFonts w:ascii="Arial" w:hAnsi="Arial" w:cs="Arial"/>
          </w:rPr>
          <w:t>https://www.manchestersafeguardingpartnership.co.uk/msp-complex-safeguarding-strategy-2020-2023-published/</w:t>
        </w:r>
      </w:hyperlink>
      <w:r w:rsidRPr="00932484">
        <w:rPr>
          <w:rFonts w:ascii="Arial" w:hAnsi="Arial" w:cs="Arial"/>
        </w:rPr>
        <w:t xml:space="preserve"> </w:t>
      </w:r>
    </w:p>
    <w:p w:rsidR="00AD61AB" w:rsidRDefault="00AD61AB" w:rsidP="00AD61AB">
      <w:pPr>
        <w:pStyle w:val="Default"/>
        <w:rPr>
          <w:rFonts w:ascii="Arial" w:hAnsi="Arial" w:cs="Arial"/>
          <w:b/>
        </w:rPr>
      </w:pPr>
    </w:p>
    <w:p w:rsidR="00B60374" w:rsidRDefault="00B60374" w:rsidP="00AD61AB">
      <w:pPr>
        <w:pStyle w:val="Default"/>
        <w:rPr>
          <w:rFonts w:ascii="Arial" w:hAnsi="Arial" w:cs="Arial"/>
          <w:b/>
        </w:rPr>
      </w:pPr>
    </w:p>
    <w:p w:rsidR="00AD61AB" w:rsidRPr="00A36BD4" w:rsidRDefault="00AD61AB" w:rsidP="00A36BD4">
      <w:pPr>
        <w:pStyle w:val="Default"/>
        <w:shd w:val="clear" w:color="auto" w:fill="C5E0B3" w:themeFill="accent6" w:themeFillTint="66"/>
        <w:rPr>
          <w:rFonts w:ascii="Arial" w:hAnsi="Arial" w:cs="Arial"/>
          <w:b/>
        </w:rPr>
      </w:pPr>
      <w:r w:rsidRPr="00932484">
        <w:rPr>
          <w:rFonts w:ascii="Arial" w:hAnsi="Arial" w:cs="Arial"/>
          <w:b/>
        </w:rPr>
        <w:t>Tackling Violence and Exploitation</w:t>
      </w:r>
      <w:r>
        <w:rPr>
          <w:rFonts w:ascii="Arial" w:hAnsi="Arial" w:cs="Arial"/>
          <w:b/>
        </w:rPr>
        <w:t xml:space="preserve"> </w:t>
      </w:r>
      <w:r w:rsidRPr="00932484">
        <w:rPr>
          <w:rFonts w:ascii="Arial" w:hAnsi="Arial" w:cs="Arial"/>
          <w:b/>
        </w:rPr>
        <w:t>Wolverhampton’s Strategy</w:t>
      </w:r>
    </w:p>
    <w:p w:rsidR="00A36BD4" w:rsidRDefault="00A36BD4" w:rsidP="00A36BD4">
      <w:pPr>
        <w:pStyle w:val="Default"/>
        <w:rPr>
          <w:rFonts w:ascii="Arial" w:hAnsi="Arial" w:cs="Arial"/>
        </w:rPr>
      </w:pPr>
    </w:p>
    <w:p w:rsidR="00A36BD4" w:rsidRPr="00A36BD4" w:rsidRDefault="00A36BD4" w:rsidP="00A36BD4">
      <w:pPr>
        <w:pStyle w:val="Default"/>
        <w:rPr>
          <w:rFonts w:ascii="Arial" w:hAnsi="Arial" w:cs="Arial"/>
        </w:rPr>
      </w:pPr>
      <w:r w:rsidRPr="00A36BD4">
        <w:rPr>
          <w:rFonts w:ascii="Arial" w:hAnsi="Arial" w:cs="Arial"/>
        </w:rPr>
        <w:t>Published by Safer Wolverhampton Partnership</w:t>
      </w:r>
      <w:r>
        <w:rPr>
          <w:rFonts w:ascii="Arial" w:hAnsi="Arial" w:cs="Arial"/>
        </w:rPr>
        <w:t xml:space="preserve"> </w:t>
      </w:r>
      <w:r w:rsidRPr="00A36BD4">
        <w:rPr>
          <w:rFonts w:ascii="Arial" w:hAnsi="Arial" w:cs="Arial"/>
        </w:rPr>
        <w:t>(SWP) and Adults and Children Safeguarding</w:t>
      </w:r>
      <w:r>
        <w:rPr>
          <w:rFonts w:ascii="Arial" w:hAnsi="Arial" w:cs="Arial"/>
        </w:rPr>
        <w:t xml:space="preserve"> </w:t>
      </w:r>
      <w:r w:rsidRPr="00A36BD4">
        <w:rPr>
          <w:rFonts w:ascii="Arial" w:hAnsi="Arial" w:cs="Arial"/>
        </w:rPr>
        <w:t>Boards</w:t>
      </w:r>
      <w:r>
        <w:rPr>
          <w:rFonts w:ascii="Arial" w:hAnsi="Arial" w:cs="Arial"/>
        </w:rPr>
        <w:t>. 20 pages.</w:t>
      </w:r>
    </w:p>
    <w:p w:rsidR="00AD61AB" w:rsidRPr="00A36BD4" w:rsidRDefault="006B2FE2" w:rsidP="00A36BD4">
      <w:pPr>
        <w:pStyle w:val="Default"/>
        <w:rPr>
          <w:rFonts w:ascii="Arial" w:hAnsi="Arial" w:cs="Arial"/>
        </w:rPr>
      </w:pPr>
      <w:hyperlink r:id="rId21" w:history="1">
        <w:r w:rsidR="00AD61AB" w:rsidRPr="00A36BD4">
          <w:rPr>
            <w:rStyle w:val="Hyperlink"/>
            <w:rFonts w:ascii="Arial" w:hAnsi="Arial" w:cs="Arial"/>
          </w:rPr>
          <w:t>http://www.saferwolverhampton.org.uk/documents/TVE%20Wolverhampton%20Strategy.pdf</w:t>
        </w:r>
      </w:hyperlink>
      <w:r w:rsidR="00AD61AB" w:rsidRPr="00A36BD4">
        <w:rPr>
          <w:rFonts w:ascii="Arial" w:hAnsi="Arial" w:cs="Arial"/>
        </w:rPr>
        <w:t xml:space="preserve"> </w:t>
      </w:r>
      <w:r w:rsidR="00AD61AB" w:rsidRPr="00A36BD4">
        <w:rPr>
          <w:rFonts w:ascii="Arial" w:hAnsi="Arial" w:cs="Arial"/>
        </w:rPr>
        <w:br/>
      </w:r>
    </w:p>
    <w:p w:rsidR="00AD61AB" w:rsidRDefault="00AD61AB" w:rsidP="00AD61AB">
      <w:pPr>
        <w:pStyle w:val="Default"/>
        <w:rPr>
          <w:rFonts w:ascii="Arial" w:hAnsi="Arial" w:cs="Arial"/>
        </w:rPr>
      </w:pPr>
    </w:p>
    <w:p w:rsidR="00AD61AB" w:rsidRDefault="00AD61AB" w:rsidP="00A36BD4">
      <w:pPr>
        <w:pStyle w:val="Default"/>
        <w:shd w:val="clear" w:color="auto" w:fill="C5E0B3" w:themeFill="accent6" w:themeFillTint="66"/>
        <w:rPr>
          <w:rFonts w:ascii="Arial" w:hAnsi="Arial" w:cs="Arial"/>
        </w:rPr>
      </w:pPr>
      <w:r w:rsidRPr="0009450A">
        <w:rPr>
          <w:rFonts w:ascii="Arial" w:hAnsi="Arial" w:cs="Arial"/>
          <w:b/>
        </w:rPr>
        <w:t>Solihull All Age Exploitation Reduction Strategy 2020- 2022</w:t>
      </w:r>
      <w:r>
        <w:rPr>
          <w:rFonts w:ascii="Arial" w:hAnsi="Arial" w:cs="Arial"/>
        </w:rPr>
        <w:t xml:space="preserve"> – soon to be published</w:t>
      </w:r>
    </w:p>
    <w:p w:rsidR="00A36BD4" w:rsidRDefault="00AF0832" w:rsidP="00D132A2">
      <w:r>
        <w:br/>
      </w:r>
      <w:r w:rsidR="00A36BD4">
        <w:t>From the SAB, LSCP and CSP. Made up of three documents – the strategy, a delivery Plan and some Case studies.  The strategy document is 22 pages.</w:t>
      </w:r>
      <w:r w:rsidR="00A36BD4">
        <w:br/>
      </w:r>
    </w:p>
    <w:p w:rsidR="00A36BD4" w:rsidRPr="00D742C9" w:rsidRDefault="00A36BD4" w:rsidP="00D742C9">
      <w:pPr>
        <w:shd w:val="clear" w:color="auto" w:fill="2F5496" w:themeFill="accent5" w:themeFillShade="BF"/>
        <w:rPr>
          <w:b/>
          <w:color w:val="FFFFFF" w:themeColor="background1"/>
          <w:sz w:val="28"/>
          <w:szCs w:val="28"/>
        </w:rPr>
      </w:pPr>
      <w:r w:rsidRPr="00D742C9">
        <w:rPr>
          <w:b/>
          <w:color w:val="FFFFFF" w:themeColor="background1"/>
          <w:sz w:val="28"/>
          <w:szCs w:val="28"/>
        </w:rPr>
        <w:t>Other resources</w:t>
      </w:r>
    </w:p>
    <w:p w:rsidR="00D742C9" w:rsidRPr="00D742C9" w:rsidRDefault="00D742C9" w:rsidP="00D742C9">
      <w:pPr>
        <w:rPr>
          <w:b/>
          <w:sz w:val="18"/>
          <w:szCs w:val="18"/>
        </w:rPr>
      </w:pPr>
    </w:p>
    <w:p w:rsidR="00CB23DE" w:rsidRPr="00A36BD4" w:rsidRDefault="00CB23DE" w:rsidP="00A36BD4">
      <w:pPr>
        <w:shd w:val="clear" w:color="auto" w:fill="B4C6E7" w:themeFill="accent5" w:themeFillTint="66"/>
        <w:rPr>
          <w:b/>
        </w:rPr>
      </w:pPr>
      <w:r w:rsidRPr="00A36BD4">
        <w:rPr>
          <w:b/>
        </w:rPr>
        <w:t>Solihull Language Matters - Changing the way professionals discuss and record their work with exploitation</w:t>
      </w:r>
    </w:p>
    <w:p w:rsidR="00CB23DE" w:rsidRPr="00CB23DE" w:rsidRDefault="00CB23DE" w:rsidP="00A36BD4">
      <w:r>
        <w:t>This document can be used by professionals when discussing the exploitation of individuals, including when escalating intelligence and delivering training.</w:t>
      </w:r>
    </w:p>
    <w:p w:rsidR="00CB23DE" w:rsidRPr="00CB23DE" w:rsidRDefault="006B2FE2" w:rsidP="00A36BD4">
      <w:hyperlink r:id="rId22" w:history="1">
        <w:r w:rsidR="00CB23DE" w:rsidRPr="00CB23DE">
          <w:rPr>
            <w:rStyle w:val="Hyperlink"/>
          </w:rPr>
          <w:t>https://ssab.org.uk/publications/information-leaflets-83.php</w:t>
        </w:r>
      </w:hyperlink>
      <w:r w:rsidR="00CB23DE" w:rsidRPr="00CB23DE">
        <w:t xml:space="preserve"> </w:t>
      </w:r>
    </w:p>
    <w:p w:rsidR="00CB23DE" w:rsidRDefault="00CB23DE" w:rsidP="00CB23DE">
      <w:pPr>
        <w:pStyle w:val="Default"/>
      </w:pPr>
    </w:p>
    <w:p w:rsidR="00CB23DE" w:rsidRDefault="00CB23DE" w:rsidP="00A36BD4">
      <w:pPr>
        <w:pStyle w:val="Default"/>
        <w:shd w:val="clear" w:color="auto" w:fill="B4C6E7" w:themeFill="accent5" w:themeFillTint="66"/>
        <w:rPr>
          <w:rFonts w:ascii="Arial" w:hAnsi="Arial" w:cs="Arial"/>
          <w:bCs/>
        </w:rPr>
      </w:pPr>
      <w:r w:rsidRPr="00CB23DE">
        <w:rPr>
          <w:rFonts w:ascii="Arial" w:hAnsi="Arial" w:cs="Arial"/>
          <w:b/>
          <w:bCs/>
        </w:rPr>
        <w:t>Newcastle –</w:t>
      </w:r>
      <w:r w:rsidRPr="00CB23DE">
        <w:rPr>
          <w:rFonts w:ascii="Arial" w:hAnsi="Arial" w:cs="Arial"/>
          <w:bCs/>
        </w:rPr>
        <w:t xml:space="preserve"> </w:t>
      </w:r>
      <w:r w:rsidRPr="00CB23DE">
        <w:rPr>
          <w:rFonts w:ascii="Arial" w:hAnsi="Arial" w:cs="Arial"/>
          <w:b/>
          <w:bCs/>
        </w:rPr>
        <w:t>Sexual and/or Criminal Exploitation Language Guidance for Professionals Working with Adults</w:t>
      </w:r>
    </w:p>
    <w:p w:rsidR="00CB23DE" w:rsidRDefault="00CB23DE" w:rsidP="00CB23DE">
      <w:pPr>
        <w:pStyle w:val="Default"/>
        <w:rPr>
          <w:rFonts w:ascii="Arial" w:hAnsi="Arial" w:cs="Arial"/>
          <w:bCs/>
        </w:rPr>
      </w:pPr>
    </w:p>
    <w:p w:rsidR="00CB23DE" w:rsidRDefault="00CB23DE" w:rsidP="00A36BD4">
      <w:pPr>
        <w:pStyle w:val="Default"/>
        <w:rPr>
          <w:rFonts w:ascii="Arial" w:hAnsi="Arial" w:cs="Arial"/>
        </w:rPr>
      </w:pPr>
      <w:r w:rsidRPr="00CB23DE">
        <w:rPr>
          <w:rFonts w:ascii="Arial" w:hAnsi="Arial" w:cs="Arial"/>
        </w:rPr>
        <w:t>This guidance can be used by professionals when discussing or recording information about the exploitation of adults at risk, including when escalating intelligence and delivering training.</w:t>
      </w:r>
    </w:p>
    <w:p w:rsidR="00CB23DE" w:rsidRDefault="00CB23DE" w:rsidP="00CB23DE">
      <w:pPr>
        <w:pStyle w:val="Default"/>
        <w:ind w:left="720"/>
        <w:rPr>
          <w:rFonts w:ascii="Arial" w:hAnsi="Arial" w:cs="Arial"/>
        </w:rPr>
      </w:pPr>
    </w:p>
    <w:p w:rsidR="00CB23DE" w:rsidRDefault="006B2FE2" w:rsidP="00A36BD4">
      <w:pPr>
        <w:pStyle w:val="Default"/>
        <w:rPr>
          <w:rFonts w:ascii="Arial" w:hAnsi="Arial" w:cs="Arial"/>
        </w:rPr>
      </w:pPr>
      <w:hyperlink r:id="rId23" w:history="1">
        <w:r w:rsidR="00CB23DE" w:rsidRPr="00AC717C">
          <w:rPr>
            <w:rStyle w:val="Hyperlink"/>
            <w:rFonts w:ascii="Arial" w:hAnsi="Arial" w:cs="Arial"/>
          </w:rPr>
          <w:t>https://www.newcastle.gov.uk/sites/default/files/Agenda%20Item%205%20-%20Expolitation%20Language%20Guidance.pdf</w:t>
        </w:r>
      </w:hyperlink>
      <w:r w:rsidR="00CB23DE">
        <w:rPr>
          <w:rFonts w:ascii="Arial" w:hAnsi="Arial" w:cs="Arial"/>
        </w:rPr>
        <w:t xml:space="preserve"> </w:t>
      </w:r>
    </w:p>
    <w:p w:rsidR="00CB23DE" w:rsidRDefault="00CB23DE" w:rsidP="00CB23DE">
      <w:pPr>
        <w:pStyle w:val="Default"/>
        <w:rPr>
          <w:rFonts w:ascii="Arial" w:hAnsi="Arial" w:cs="Arial"/>
        </w:rPr>
      </w:pPr>
    </w:p>
    <w:p w:rsidR="005F63B4" w:rsidRDefault="00A91744" w:rsidP="00A36BD4">
      <w:pPr>
        <w:pStyle w:val="Default"/>
        <w:shd w:val="clear" w:color="auto" w:fill="B4C6E7" w:themeFill="accent5" w:themeFillTint="66"/>
        <w:rPr>
          <w:rFonts w:ascii="Arial" w:hAnsi="Arial" w:cs="Arial"/>
        </w:rPr>
      </w:pPr>
      <w:r w:rsidRPr="00A91744">
        <w:rPr>
          <w:rFonts w:ascii="Arial" w:hAnsi="Arial" w:cs="Arial"/>
          <w:b/>
        </w:rPr>
        <w:t>Appropriate Language: Child Sexual and/or Criminal Exploitation – Guidance for professionals</w:t>
      </w:r>
      <w:r w:rsidRPr="00A91744">
        <w:rPr>
          <w:rFonts w:ascii="Arial" w:hAnsi="Arial" w:cs="Arial"/>
        </w:rPr>
        <w:t xml:space="preserve"> from The Childrens Society, Victim Support and National Police Chief Council.</w:t>
      </w:r>
    </w:p>
    <w:p w:rsidR="00A36BD4" w:rsidRDefault="00A36BD4" w:rsidP="00A36BD4">
      <w:pPr>
        <w:pStyle w:val="Default"/>
        <w:shd w:val="clear" w:color="auto" w:fill="FFFFFF" w:themeFill="background1"/>
        <w:rPr>
          <w:rFonts w:ascii="Arial" w:hAnsi="Arial" w:cs="Arial"/>
        </w:rPr>
      </w:pPr>
    </w:p>
    <w:p w:rsidR="00A91744" w:rsidRDefault="00A91744" w:rsidP="00A36BD4">
      <w:pPr>
        <w:pStyle w:val="Default"/>
        <w:shd w:val="clear" w:color="auto" w:fill="FFFFFF" w:themeFill="background1"/>
        <w:rPr>
          <w:rFonts w:ascii="Arial" w:hAnsi="Arial" w:cs="Arial"/>
        </w:rPr>
      </w:pPr>
      <w:r w:rsidRPr="00A91744">
        <w:rPr>
          <w:rFonts w:ascii="Arial" w:hAnsi="Arial" w:cs="Arial"/>
        </w:rPr>
        <w:t>This document can be used by professionals when discussing the exploitation of children and young people, including when escalating intelligence and delivering training.</w:t>
      </w:r>
    </w:p>
    <w:p w:rsidR="00A36BD4" w:rsidRDefault="00A36BD4" w:rsidP="00A36BD4">
      <w:pPr>
        <w:pStyle w:val="Default"/>
        <w:rPr>
          <w:rFonts w:ascii="Arial" w:hAnsi="Arial" w:cs="Arial"/>
        </w:rPr>
      </w:pPr>
    </w:p>
    <w:p w:rsidR="00A91744" w:rsidRDefault="006B2FE2" w:rsidP="00A36BD4">
      <w:pPr>
        <w:pStyle w:val="Default"/>
        <w:rPr>
          <w:rFonts w:ascii="Arial" w:hAnsi="Arial" w:cs="Arial"/>
        </w:rPr>
      </w:pPr>
      <w:hyperlink r:id="rId24" w:history="1">
        <w:r w:rsidR="00A91744" w:rsidRPr="00AC717C">
          <w:rPr>
            <w:rStyle w:val="Hyperlink"/>
            <w:rFonts w:ascii="Arial" w:hAnsi="Arial" w:cs="Arial"/>
          </w:rPr>
          <w:t>https://www.csepoliceandprevention.org.uk/sites/default/files/Guidance%20App%20Language%20Toolkit.pdf</w:t>
        </w:r>
      </w:hyperlink>
      <w:r w:rsidR="00A91744">
        <w:rPr>
          <w:rFonts w:ascii="Arial" w:hAnsi="Arial" w:cs="Arial"/>
        </w:rPr>
        <w:t xml:space="preserve"> </w:t>
      </w:r>
      <w:r w:rsidR="00A91744">
        <w:rPr>
          <w:rFonts w:ascii="Arial" w:hAnsi="Arial" w:cs="Arial"/>
        </w:rPr>
        <w:br/>
      </w:r>
    </w:p>
    <w:p w:rsidR="00A91744" w:rsidRDefault="00A91744" w:rsidP="00A36BD4">
      <w:pPr>
        <w:pStyle w:val="Default"/>
        <w:shd w:val="clear" w:color="auto" w:fill="B4C6E7" w:themeFill="accent5" w:themeFillTint="66"/>
        <w:rPr>
          <w:rFonts w:ascii="Arial" w:hAnsi="Arial" w:cs="Arial"/>
        </w:rPr>
      </w:pPr>
      <w:r w:rsidRPr="00A91744">
        <w:rPr>
          <w:rFonts w:ascii="Arial" w:hAnsi="Arial" w:cs="Arial"/>
          <w:b/>
        </w:rPr>
        <w:t>Criminal, Civil and Partnerships Disruption Options for Perpetrators of Child and Adult Victims of Exploitation</w:t>
      </w:r>
      <w:r>
        <w:rPr>
          <w:rFonts w:ascii="Arial" w:hAnsi="Arial" w:cs="Arial"/>
        </w:rPr>
        <w:t xml:space="preserve"> – NWG</w:t>
      </w:r>
    </w:p>
    <w:p w:rsidR="00A91744" w:rsidRDefault="00A91744" w:rsidP="00A91744">
      <w:pPr>
        <w:pStyle w:val="Default"/>
        <w:ind w:left="720"/>
        <w:rPr>
          <w:rFonts w:ascii="Arial" w:hAnsi="Arial" w:cs="Arial"/>
        </w:rPr>
      </w:pPr>
    </w:p>
    <w:p w:rsidR="00A91744" w:rsidRPr="00A91744" w:rsidRDefault="00A91744" w:rsidP="00587152">
      <w:pPr>
        <w:pStyle w:val="Default"/>
        <w:rPr>
          <w:rFonts w:ascii="Arial" w:hAnsi="Arial" w:cs="Arial"/>
        </w:rPr>
      </w:pPr>
      <w:r w:rsidRPr="00A91744">
        <w:rPr>
          <w:rFonts w:ascii="Arial" w:hAnsi="Arial" w:cs="Arial"/>
        </w:rPr>
        <w:t>This toolkit is divided into sections covering</w:t>
      </w:r>
      <w:r>
        <w:rPr>
          <w:rFonts w:ascii="Arial" w:hAnsi="Arial" w:cs="Arial"/>
        </w:rPr>
        <w:t xml:space="preserve"> </w:t>
      </w:r>
      <w:r w:rsidRPr="00A91744">
        <w:rPr>
          <w:rFonts w:ascii="Arial" w:hAnsi="Arial" w:cs="Arial"/>
        </w:rPr>
        <w:t>powers to protect child victims and adult</w:t>
      </w:r>
      <w:r>
        <w:rPr>
          <w:rFonts w:ascii="Arial" w:hAnsi="Arial" w:cs="Arial"/>
        </w:rPr>
        <w:t xml:space="preserve"> </w:t>
      </w:r>
      <w:r w:rsidRPr="00A91744">
        <w:rPr>
          <w:rFonts w:ascii="Arial" w:hAnsi="Arial" w:cs="Arial"/>
        </w:rPr>
        <w:t>victims of exploitation, powers to pursue and</w:t>
      </w:r>
      <w:r>
        <w:rPr>
          <w:rFonts w:ascii="Arial" w:hAnsi="Arial" w:cs="Arial"/>
        </w:rPr>
        <w:t xml:space="preserve"> </w:t>
      </w:r>
      <w:r w:rsidRPr="00A91744">
        <w:rPr>
          <w:rFonts w:ascii="Arial" w:hAnsi="Arial" w:cs="Arial"/>
        </w:rPr>
        <w:t>disrupt offenders and powers to target harden</w:t>
      </w:r>
      <w:r>
        <w:rPr>
          <w:rFonts w:ascii="Arial" w:hAnsi="Arial" w:cs="Arial"/>
        </w:rPr>
        <w:t xml:space="preserve"> </w:t>
      </w:r>
      <w:r w:rsidRPr="00A91744">
        <w:rPr>
          <w:rFonts w:ascii="Arial" w:hAnsi="Arial" w:cs="Arial"/>
        </w:rPr>
        <w:t>and secure locations used to exploit individuals.</w:t>
      </w:r>
      <w:r w:rsidRPr="00A91744">
        <w:rPr>
          <w:rFonts w:ascii="Arial" w:hAnsi="Arial" w:cs="Arial"/>
        </w:rPr>
        <w:br/>
      </w:r>
      <w:r w:rsidRPr="00A91744">
        <w:rPr>
          <w:rFonts w:ascii="Arial" w:hAnsi="Arial" w:cs="Arial"/>
        </w:rPr>
        <w:br/>
      </w:r>
      <w:hyperlink r:id="rId25" w:history="1">
        <w:r w:rsidRPr="00A91744">
          <w:rPr>
            <w:rStyle w:val="Hyperlink"/>
            <w:rFonts w:ascii="Arial" w:hAnsi="Arial" w:cs="Arial"/>
          </w:rPr>
          <w:t>https://ssab.org.uk/media/upload/documents/NWG-Disruption-Toolkit-v3-1.pdf</w:t>
        </w:r>
      </w:hyperlink>
      <w:r w:rsidRPr="00A91744">
        <w:rPr>
          <w:rFonts w:ascii="Arial" w:hAnsi="Arial" w:cs="Arial"/>
        </w:rPr>
        <w:t xml:space="preserve"> </w:t>
      </w:r>
      <w:r w:rsidRPr="00A91744">
        <w:rPr>
          <w:rFonts w:ascii="Arial" w:hAnsi="Arial" w:cs="Arial"/>
        </w:rPr>
        <w:br/>
      </w:r>
    </w:p>
    <w:p w:rsidR="005F63B4" w:rsidRDefault="00EE40B6" w:rsidP="00587152">
      <w:pPr>
        <w:pStyle w:val="Default"/>
        <w:shd w:val="clear" w:color="auto" w:fill="B4C6E7" w:themeFill="accent5" w:themeFillTint="66"/>
        <w:rPr>
          <w:rFonts w:ascii="Arial" w:hAnsi="Arial" w:cs="Arial"/>
          <w:b/>
        </w:rPr>
      </w:pPr>
      <w:r w:rsidRPr="00EE40B6">
        <w:rPr>
          <w:rFonts w:ascii="Arial" w:hAnsi="Arial" w:cs="Arial"/>
          <w:b/>
        </w:rPr>
        <w:t>A brief guide to... sexual exploitation</w:t>
      </w:r>
      <w:r>
        <w:rPr>
          <w:rFonts w:ascii="Arial" w:hAnsi="Arial" w:cs="Arial"/>
          <w:b/>
        </w:rPr>
        <w:t xml:space="preserve"> – </w:t>
      </w:r>
      <w:proofErr w:type="spellStart"/>
      <w:r>
        <w:rPr>
          <w:rFonts w:ascii="Arial" w:hAnsi="Arial" w:cs="Arial"/>
          <w:b/>
        </w:rPr>
        <w:t>RiP</w:t>
      </w:r>
      <w:r w:rsidR="00932484">
        <w:rPr>
          <w:rFonts w:ascii="Arial" w:hAnsi="Arial" w:cs="Arial"/>
          <w:b/>
        </w:rPr>
        <w:t>fA</w:t>
      </w:r>
      <w:proofErr w:type="spellEnd"/>
      <w:r w:rsidR="00932484">
        <w:rPr>
          <w:rFonts w:ascii="Arial" w:hAnsi="Arial" w:cs="Arial"/>
          <w:b/>
        </w:rPr>
        <w:br/>
      </w:r>
    </w:p>
    <w:p w:rsidR="00587152" w:rsidRDefault="00587152" w:rsidP="00587152">
      <w:pPr>
        <w:pStyle w:val="Default"/>
      </w:pPr>
    </w:p>
    <w:p w:rsidR="00A91744" w:rsidRDefault="006B2FE2" w:rsidP="00587152">
      <w:pPr>
        <w:pStyle w:val="Default"/>
        <w:rPr>
          <w:rFonts w:ascii="Arial" w:hAnsi="Arial" w:cs="Arial"/>
          <w:b/>
        </w:rPr>
      </w:pPr>
      <w:hyperlink r:id="rId26" w:history="1">
        <w:r w:rsidR="00932484" w:rsidRPr="00932484">
          <w:rPr>
            <w:rStyle w:val="Hyperlink"/>
            <w:rFonts w:ascii="Arial" w:hAnsi="Arial" w:cs="Arial"/>
          </w:rPr>
          <w:t>https://www.researchinpractice.org.uk/media/2576/ripfa_a_brief_guide_to_sexual_exploitation_web_oct17.pdf</w:t>
        </w:r>
      </w:hyperlink>
      <w:r w:rsidR="00932484">
        <w:rPr>
          <w:rFonts w:ascii="Arial" w:hAnsi="Arial" w:cs="Arial"/>
          <w:b/>
        </w:rPr>
        <w:t xml:space="preserve"> </w:t>
      </w:r>
      <w:r w:rsidR="00932484">
        <w:rPr>
          <w:rFonts w:ascii="Arial" w:hAnsi="Arial" w:cs="Arial"/>
          <w:b/>
        </w:rPr>
        <w:br/>
      </w:r>
    </w:p>
    <w:p w:rsidR="00E73A44" w:rsidRDefault="00E73A44" w:rsidP="00E73A44">
      <w:pPr>
        <w:shd w:val="clear" w:color="auto" w:fill="B4C6E7" w:themeFill="accent5" w:themeFillTint="66"/>
        <w:spacing w:after="300" w:line="240" w:lineRule="auto"/>
        <w:outlineLvl w:val="0"/>
        <w:rPr>
          <w:rFonts w:eastAsia="Times New Roman"/>
          <w:b/>
          <w:bCs/>
          <w:kern w:val="36"/>
          <w:lang w:eastAsia="en-GB"/>
        </w:rPr>
      </w:pPr>
      <w:r w:rsidRPr="00E73A44">
        <w:rPr>
          <w:rFonts w:eastAsia="Times New Roman"/>
          <w:b/>
          <w:bCs/>
          <w:kern w:val="36"/>
          <w:lang w:eastAsia="en-GB"/>
        </w:rPr>
        <w:t>Vulnerable Adult Risk Management (VARM)</w:t>
      </w:r>
      <w:r>
        <w:rPr>
          <w:rFonts w:eastAsia="Times New Roman"/>
          <w:b/>
          <w:bCs/>
          <w:kern w:val="36"/>
          <w:lang w:eastAsia="en-GB"/>
        </w:rPr>
        <w:t xml:space="preserve"> – Derbyshire SAB</w:t>
      </w:r>
    </w:p>
    <w:p w:rsidR="00E73A44" w:rsidRPr="00E73A44" w:rsidRDefault="00E73A44" w:rsidP="00E73A44">
      <w:pPr>
        <w:shd w:val="clear" w:color="auto" w:fill="FFFFFF"/>
        <w:spacing w:after="300" w:line="240" w:lineRule="auto"/>
        <w:outlineLvl w:val="0"/>
        <w:rPr>
          <w:rFonts w:eastAsia="Times New Roman"/>
          <w:bCs/>
          <w:kern w:val="36"/>
          <w:lang w:eastAsia="en-GB"/>
        </w:rPr>
      </w:pPr>
      <w:r w:rsidRPr="00E73A44">
        <w:rPr>
          <w:rFonts w:eastAsia="Times New Roman"/>
          <w:bCs/>
          <w:kern w:val="36"/>
          <w:lang w:eastAsia="en-GB"/>
        </w:rPr>
        <w:t>A vulnerable adult risk management (VARM) process to manage risks which may arise within specific circumstances when working with adults deemed to have capacity to make decisions for themselves, but who are at risk of serious harm or death through:</w:t>
      </w:r>
    </w:p>
    <w:p w:rsidR="00E73A44" w:rsidRDefault="00E73A44" w:rsidP="00E73A44">
      <w:pPr>
        <w:pStyle w:val="ListParagraph"/>
        <w:numPr>
          <w:ilvl w:val="0"/>
          <w:numId w:val="8"/>
        </w:numPr>
        <w:shd w:val="clear" w:color="auto" w:fill="FFFFFF"/>
        <w:spacing w:after="300" w:line="240" w:lineRule="auto"/>
        <w:outlineLvl w:val="0"/>
        <w:rPr>
          <w:rFonts w:eastAsia="Times New Roman"/>
          <w:bCs/>
          <w:kern w:val="36"/>
          <w:lang w:eastAsia="en-GB"/>
        </w:rPr>
      </w:pPr>
      <w:r w:rsidRPr="00E73A44">
        <w:rPr>
          <w:rFonts w:eastAsia="Times New Roman"/>
          <w:bCs/>
          <w:kern w:val="36"/>
          <w:lang w:eastAsia="en-GB"/>
        </w:rPr>
        <w:t xml:space="preserve">self-neglect (Care Act 2014) </w:t>
      </w:r>
    </w:p>
    <w:p w:rsidR="00E73A44" w:rsidRDefault="00E73A44" w:rsidP="00E73A44">
      <w:pPr>
        <w:pStyle w:val="ListParagraph"/>
        <w:numPr>
          <w:ilvl w:val="0"/>
          <w:numId w:val="8"/>
        </w:numPr>
        <w:shd w:val="clear" w:color="auto" w:fill="FFFFFF"/>
        <w:spacing w:after="300" w:line="240" w:lineRule="auto"/>
        <w:outlineLvl w:val="0"/>
        <w:rPr>
          <w:rFonts w:eastAsia="Times New Roman"/>
          <w:bCs/>
          <w:kern w:val="36"/>
          <w:lang w:eastAsia="en-GB"/>
        </w:rPr>
      </w:pPr>
      <w:r w:rsidRPr="00E73A44">
        <w:rPr>
          <w:rFonts w:eastAsia="Times New Roman"/>
          <w:bCs/>
          <w:kern w:val="36"/>
          <w:lang w:eastAsia="en-GB"/>
        </w:rPr>
        <w:t xml:space="preserve">risk taking behaviour / chaotic lifestyles or </w:t>
      </w:r>
    </w:p>
    <w:p w:rsidR="00E73A44" w:rsidRPr="00E73A44" w:rsidRDefault="00E73A44" w:rsidP="00E73A44">
      <w:pPr>
        <w:pStyle w:val="ListParagraph"/>
        <w:numPr>
          <w:ilvl w:val="0"/>
          <w:numId w:val="8"/>
        </w:numPr>
        <w:shd w:val="clear" w:color="auto" w:fill="FFFFFF"/>
        <w:spacing w:after="300" w:line="240" w:lineRule="auto"/>
        <w:outlineLvl w:val="0"/>
        <w:rPr>
          <w:rFonts w:eastAsia="Times New Roman"/>
          <w:bCs/>
          <w:kern w:val="36"/>
          <w:lang w:eastAsia="en-GB"/>
        </w:rPr>
      </w:pPr>
      <w:r w:rsidRPr="00E73A44">
        <w:rPr>
          <w:rFonts w:eastAsia="Times New Roman"/>
          <w:bCs/>
          <w:kern w:val="36"/>
          <w:lang w:eastAsia="en-GB"/>
        </w:rPr>
        <w:t>refusal of services</w:t>
      </w:r>
      <w:r>
        <w:rPr>
          <w:rFonts w:eastAsia="Times New Roman"/>
          <w:bCs/>
          <w:kern w:val="36"/>
          <w:lang w:eastAsia="en-GB"/>
        </w:rPr>
        <w:t>.</w:t>
      </w:r>
    </w:p>
    <w:p w:rsidR="00E73A44" w:rsidRPr="00E73A44" w:rsidRDefault="00E73A44" w:rsidP="00587152">
      <w:pPr>
        <w:pStyle w:val="Default"/>
        <w:rPr>
          <w:rFonts w:ascii="Arial" w:hAnsi="Arial" w:cs="Arial"/>
        </w:rPr>
      </w:pPr>
      <w:r>
        <w:rPr>
          <w:rFonts w:ascii="Arial" w:hAnsi="Arial" w:cs="Arial"/>
        </w:rPr>
        <w:t>There are</w:t>
      </w:r>
      <w:r w:rsidRPr="00E73A44">
        <w:rPr>
          <w:rFonts w:ascii="Arial" w:hAnsi="Arial" w:cs="Arial"/>
        </w:rPr>
        <w:t xml:space="preserve"> </w:t>
      </w:r>
      <w:r>
        <w:rPr>
          <w:rFonts w:ascii="Arial" w:hAnsi="Arial" w:cs="Arial"/>
        </w:rPr>
        <w:t>lots</w:t>
      </w:r>
      <w:r w:rsidRPr="00E73A44">
        <w:rPr>
          <w:rFonts w:ascii="Arial" w:hAnsi="Arial" w:cs="Arial"/>
        </w:rPr>
        <w:t xml:space="preserve"> of resources on the Derbyshire SAB website about VARM</w:t>
      </w:r>
    </w:p>
    <w:p w:rsidR="00E73A44" w:rsidRPr="00E73A44" w:rsidRDefault="006B2FE2" w:rsidP="00587152">
      <w:pPr>
        <w:pStyle w:val="Default"/>
        <w:rPr>
          <w:rFonts w:ascii="Arial" w:hAnsi="Arial" w:cs="Arial"/>
        </w:rPr>
      </w:pPr>
      <w:hyperlink r:id="rId27" w:history="1">
        <w:r w:rsidR="00E73A44" w:rsidRPr="00E73A44">
          <w:rPr>
            <w:rStyle w:val="Hyperlink"/>
            <w:rFonts w:ascii="Arial" w:hAnsi="Arial" w:cs="Arial"/>
          </w:rPr>
          <w:t>https://www.derbyshiresab.org.uk/professionals/vulnerable-adult-risk-management.aspx</w:t>
        </w:r>
      </w:hyperlink>
      <w:r w:rsidR="00E73A44" w:rsidRPr="00E73A44">
        <w:rPr>
          <w:rFonts w:ascii="Arial" w:hAnsi="Arial" w:cs="Arial"/>
        </w:rPr>
        <w:t xml:space="preserve"> </w:t>
      </w:r>
    </w:p>
    <w:p w:rsidR="00E73A44" w:rsidRDefault="00E73A44" w:rsidP="00587152">
      <w:pPr>
        <w:pStyle w:val="Default"/>
        <w:rPr>
          <w:rFonts w:ascii="Arial" w:hAnsi="Arial" w:cs="Arial"/>
          <w:b/>
        </w:rPr>
      </w:pPr>
    </w:p>
    <w:p w:rsidR="00E73A44" w:rsidRDefault="00E73A44" w:rsidP="00E73A44">
      <w:pPr>
        <w:pStyle w:val="Default"/>
        <w:shd w:val="clear" w:color="auto" w:fill="B4C6E7" w:themeFill="accent5" w:themeFillTint="66"/>
        <w:rPr>
          <w:rFonts w:ascii="Arial" w:hAnsi="Arial" w:cs="Arial"/>
          <w:b/>
        </w:rPr>
      </w:pPr>
      <w:r w:rsidRPr="00E73A44">
        <w:rPr>
          <w:rFonts w:ascii="Arial" w:hAnsi="Arial" w:cs="Arial"/>
          <w:b/>
        </w:rPr>
        <w:t>Vulnerable Adult Risk Management (VARM)</w:t>
      </w:r>
      <w:r>
        <w:rPr>
          <w:rFonts w:ascii="Arial" w:hAnsi="Arial" w:cs="Arial"/>
          <w:b/>
        </w:rPr>
        <w:t xml:space="preserve"> – Herefordshire SAB</w:t>
      </w:r>
    </w:p>
    <w:p w:rsidR="00E73A44" w:rsidRDefault="00E73A44" w:rsidP="00E73A44">
      <w:pPr>
        <w:pStyle w:val="Default"/>
        <w:shd w:val="clear" w:color="auto" w:fill="B4C6E7" w:themeFill="accent5" w:themeFillTint="66"/>
        <w:rPr>
          <w:rFonts w:ascii="Arial" w:hAnsi="Arial" w:cs="Arial"/>
          <w:b/>
        </w:rPr>
      </w:pPr>
    </w:p>
    <w:p w:rsidR="00E73A44" w:rsidRDefault="00E73A44" w:rsidP="00587152">
      <w:pPr>
        <w:pStyle w:val="Default"/>
        <w:rPr>
          <w:rFonts w:ascii="Arial" w:hAnsi="Arial" w:cs="Arial"/>
          <w:b/>
        </w:rPr>
      </w:pPr>
    </w:p>
    <w:p w:rsidR="00E73A44" w:rsidRDefault="00E73A44" w:rsidP="00587152">
      <w:pPr>
        <w:pStyle w:val="Default"/>
        <w:rPr>
          <w:rFonts w:ascii="Arial" w:hAnsi="Arial" w:cs="Arial"/>
        </w:rPr>
      </w:pPr>
      <w:r>
        <w:rPr>
          <w:rFonts w:ascii="Arial" w:hAnsi="Arial" w:cs="Arial"/>
        </w:rPr>
        <w:t>A</w:t>
      </w:r>
      <w:r w:rsidRPr="00E73A44">
        <w:rPr>
          <w:rFonts w:ascii="Arial" w:hAnsi="Arial" w:cs="Arial"/>
        </w:rPr>
        <w:t xml:space="preserve"> framework to facilitate effective working with vulnerable adults who are at risk of significant harm due to their complex needs, and the risks cannot effectively be managed via other processes or interventions, such as section 9 care and support assessment or section 42, safeguarding enquiry.</w:t>
      </w:r>
    </w:p>
    <w:p w:rsidR="00E73A44" w:rsidRDefault="00E73A44" w:rsidP="00587152">
      <w:pPr>
        <w:pStyle w:val="Default"/>
        <w:rPr>
          <w:rFonts w:ascii="Arial" w:hAnsi="Arial" w:cs="Arial"/>
        </w:rPr>
      </w:pPr>
    </w:p>
    <w:p w:rsidR="00E73A44" w:rsidRDefault="006B2FE2" w:rsidP="00587152">
      <w:pPr>
        <w:pStyle w:val="Default"/>
        <w:rPr>
          <w:rFonts w:ascii="Arial" w:hAnsi="Arial" w:cs="Arial"/>
        </w:rPr>
      </w:pPr>
      <w:hyperlink r:id="rId28" w:history="1">
        <w:r w:rsidR="00E73A44" w:rsidRPr="003C0879">
          <w:rPr>
            <w:rStyle w:val="Hyperlink"/>
            <w:rFonts w:ascii="Arial" w:hAnsi="Arial" w:cs="Arial"/>
          </w:rPr>
          <w:t>https://herefordshiresafeguardingboards.org.uk/media/8381/varm-guidance-final.docx?bcsi_scan_3316d075d5e073ed=RWlsaseRSNfHklAr5EtMDCfi5u9FAAAAGFwbNg==:1</w:t>
        </w:r>
      </w:hyperlink>
    </w:p>
    <w:p w:rsidR="00E73A44" w:rsidRDefault="00E73A44" w:rsidP="00587152">
      <w:pPr>
        <w:pStyle w:val="Default"/>
        <w:rPr>
          <w:rFonts w:ascii="Arial" w:hAnsi="Arial" w:cs="Arial"/>
          <w:b/>
        </w:rPr>
      </w:pPr>
    </w:p>
    <w:p w:rsidR="005F63B4" w:rsidRDefault="005F63B4" w:rsidP="005F63B4">
      <w:pPr>
        <w:pStyle w:val="Default"/>
        <w:shd w:val="clear" w:color="auto" w:fill="FFFFFF" w:themeFill="background1"/>
        <w:ind w:left="720"/>
        <w:rPr>
          <w:rFonts w:ascii="Arial" w:hAnsi="Arial" w:cs="Arial"/>
        </w:rPr>
      </w:pPr>
    </w:p>
    <w:p w:rsidR="00D742C9" w:rsidRDefault="00932484" w:rsidP="00587152">
      <w:pPr>
        <w:pStyle w:val="Default"/>
        <w:shd w:val="clear" w:color="auto" w:fill="B4C6E7" w:themeFill="accent5" w:themeFillTint="66"/>
        <w:rPr>
          <w:rFonts w:ascii="Arial" w:hAnsi="Arial" w:cs="Arial"/>
        </w:rPr>
      </w:pPr>
      <w:r w:rsidRPr="0009450A">
        <w:rPr>
          <w:rFonts w:ascii="Arial" w:hAnsi="Arial" w:cs="Arial"/>
          <w:b/>
        </w:rPr>
        <w:t xml:space="preserve">Solihull </w:t>
      </w:r>
      <w:r w:rsidR="0009450A" w:rsidRPr="0009450A">
        <w:rPr>
          <w:rFonts w:ascii="Arial" w:hAnsi="Arial" w:cs="Arial"/>
          <w:b/>
        </w:rPr>
        <w:t>Adults’ exploitation screening tool</w:t>
      </w:r>
    </w:p>
    <w:p w:rsidR="00D742C9" w:rsidRDefault="00D742C9" w:rsidP="00587152">
      <w:pPr>
        <w:pStyle w:val="Default"/>
        <w:shd w:val="clear" w:color="auto" w:fill="B4C6E7" w:themeFill="accent5" w:themeFillTint="66"/>
        <w:rPr>
          <w:rFonts w:ascii="Arial" w:hAnsi="Arial" w:cs="Arial"/>
        </w:rPr>
      </w:pPr>
    </w:p>
    <w:p w:rsidR="005F63B4" w:rsidRDefault="005F63B4" w:rsidP="00D742C9">
      <w:pPr>
        <w:pStyle w:val="Default"/>
        <w:rPr>
          <w:rFonts w:ascii="Arial" w:hAnsi="Arial" w:cs="Arial"/>
        </w:rPr>
      </w:pPr>
    </w:p>
    <w:p w:rsidR="00D742C9" w:rsidRDefault="006B2FE2" w:rsidP="00D742C9">
      <w:pPr>
        <w:pStyle w:val="Default"/>
        <w:rPr>
          <w:rFonts w:ascii="Arial" w:hAnsi="Arial" w:cs="Arial"/>
        </w:rPr>
      </w:pPr>
      <w:hyperlink r:id="rId29" w:history="1">
        <w:r w:rsidR="00D742C9" w:rsidRPr="00D742C9">
          <w:rPr>
            <w:rFonts w:ascii="Arial" w:hAnsi="Arial" w:cs="Arial"/>
            <w:color w:val="0000FF"/>
            <w:u w:val="single"/>
          </w:rPr>
          <w:t>https://www.ssab.org.uk/professionals-practitioners.php</w:t>
        </w:r>
      </w:hyperlink>
    </w:p>
    <w:p w:rsidR="00AF0832" w:rsidRDefault="00AF0832" w:rsidP="00D742C9">
      <w:pPr>
        <w:pStyle w:val="Default"/>
        <w:rPr>
          <w:rFonts w:ascii="Arial" w:hAnsi="Arial" w:cs="Arial"/>
        </w:rPr>
      </w:pPr>
    </w:p>
    <w:p w:rsidR="005F63B4" w:rsidRDefault="005F63B4" w:rsidP="005F63B4">
      <w:pPr>
        <w:pStyle w:val="Default"/>
        <w:rPr>
          <w:rFonts w:ascii="Arial" w:hAnsi="Arial" w:cs="Arial"/>
          <w:color w:val="auto"/>
        </w:rPr>
      </w:pPr>
    </w:p>
    <w:p w:rsidR="005F63B4" w:rsidRPr="005F63B4" w:rsidRDefault="00CB23DE" w:rsidP="00587152">
      <w:pPr>
        <w:pStyle w:val="Default"/>
        <w:shd w:val="clear" w:color="auto" w:fill="B4C6E7" w:themeFill="accent5" w:themeFillTint="66"/>
        <w:rPr>
          <w:rFonts w:ascii="Arial" w:hAnsi="Arial" w:cs="Arial"/>
        </w:rPr>
      </w:pPr>
      <w:r w:rsidRPr="0009450A">
        <w:rPr>
          <w:rFonts w:ascii="Arial" w:hAnsi="Arial" w:cs="Arial"/>
          <w:b/>
        </w:rPr>
        <w:t>Newcastle Multi-Agency Sexual Exploitation Procedural Flow Chart December 2015</w:t>
      </w:r>
    </w:p>
    <w:p w:rsidR="00587152" w:rsidRDefault="00587152" w:rsidP="00587152">
      <w:pPr>
        <w:pStyle w:val="Default"/>
        <w:rPr>
          <w:rFonts w:ascii="Arial" w:hAnsi="Arial" w:cs="Arial"/>
        </w:rPr>
      </w:pPr>
    </w:p>
    <w:p w:rsidR="005F63B4" w:rsidRPr="005F63B4" w:rsidRDefault="006B2FE2" w:rsidP="00587152">
      <w:pPr>
        <w:pStyle w:val="Default"/>
        <w:rPr>
          <w:rFonts w:ascii="Arial" w:hAnsi="Arial" w:cs="Arial"/>
        </w:rPr>
      </w:pPr>
      <w:hyperlink r:id="rId30" w:history="1">
        <w:r w:rsidR="005F63B4" w:rsidRPr="005F63B4">
          <w:rPr>
            <w:rStyle w:val="Hyperlink"/>
            <w:rFonts w:ascii="Arial" w:hAnsi="Arial" w:cs="Arial"/>
          </w:rPr>
          <w:t>https://www.nscb.org.uk/sites/default/files/Sexual%20Exploitation%20Procedural%20flowchart%20Dec%202015.pdf</w:t>
        </w:r>
      </w:hyperlink>
    </w:p>
    <w:p w:rsidR="00D742C9" w:rsidRDefault="00D742C9" w:rsidP="00D742C9"/>
    <w:p w:rsidR="00D742C9" w:rsidRPr="00523826" w:rsidRDefault="00D742C9" w:rsidP="00D742C9">
      <w:pPr>
        <w:shd w:val="clear" w:color="auto" w:fill="00FFFF"/>
      </w:pPr>
      <w:r w:rsidRPr="00523826">
        <w:rPr>
          <w:rFonts w:eastAsia="Times New Roman"/>
          <w:b/>
          <w:bCs/>
          <w:lang w:val="en" w:eastAsia="en-GB"/>
        </w:rPr>
        <w:t>On the horizon – a Vulnerable Adults Bill?</w:t>
      </w:r>
    </w:p>
    <w:p w:rsidR="00D742C9" w:rsidRPr="004554D7" w:rsidRDefault="00D742C9" w:rsidP="00D742C9">
      <w:pPr>
        <w:spacing w:after="225" w:line="336" w:lineRule="auto"/>
        <w:rPr>
          <w:rFonts w:eastAsia="Times New Roman"/>
          <w:lang w:val="en" w:eastAsia="en-GB"/>
        </w:rPr>
      </w:pPr>
      <w:r w:rsidRPr="004554D7">
        <w:rPr>
          <w:rFonts w:eastAsia="Times New Roman"/>
          <w:lang w:val="en" w:eastAsia="en-GB"/>
        </w:rPr>
        <w:t xml:space="preserve">Autism Together, the Association for Real Change, and lawyer Alex Ruck-Keene of 39 Essex Chambers have submitted to the Law Commission a proposal for a Vulnerable Adults Bill. </w:t>
      </w:r>
    </w:p>
    <w:p w:rsidR="00D742C9" w:rsidRDefault="00D742C9" w:rsidP="00D742C9">
      <w:pPr>
        <w:spacing w:after="225" w:line="336" w:lineRule="auto"/>
        <w:rPr>
          <w:rFonts w:eastAsia="Times New Roman"/>
          <w:lang w:val="en" w:eastAsia="en-GB"/>
        </w:rPr>
      </w:pPr>
      <w:r w:rsidRPr="004554D7">
        <w:rPr>
          <w:rFonts w:eastAsia="Times New Roman"/>
          <w:lang w:val="en" w:eastAsia="en-GB"/>
        </w:rPr>
        <w:t xml:space="preserve">The bill aims to establish a set of principles that would underpin interventions to protect vulnerable people who, although capacitated, are at risk of coercion and duress. The decision whether to proceed with drafting a bill is awaited from the law commission. </w:t>
      </w:r>
    </w:p>
    <w:p w:rsidR="00B60374" w:rsidRPr="00B71004" w:rsidRDefault="00B71004" w:rsidP="00B71004">
      <w:pPr>
        <w:pStyle w:val="Default"/>
        <w:shd w:val="clear" w:color="auto" w:fill="FFD966" w:themeFill="accent4" w:themeFillTint="99"/>
        <w:rPr>
          <w:rFonts w:ascii="Arial" w:hAnsi="Arial" w:cs="Arial"/>
          <w:b/>
        </w:rPr>
      </w:pPr>
      <w:r w:rsidRPr="00B71004">
        <w:rPr>
          <w:rFonts w:ascii="Arial" w:hAnsi="Arial" w:cs="Arial"/>
          <w:b/>
        </w:rPr>
        <w:t>Other</w:t>
      </w:r>
    </w:p>
    <w:p w:rsidR="00B71004" w:rsidRDefault="00B71004" w:rsidP="005F63B4">
      <w:pPr>
        <w:pStyle w:val="Default"/>
        <w:rPr>
          <w:rFonts w:ascii="Arial" w:hAnsi="Arial" w:cs="Arial"/>
        </w:rPr>
      </w:pPr>
    </w:p>
    <w:p w:rsidR="00B71004" w:rsidRPr="00B71004" w:rsidRDefault="00B71004" w:rsidP="00B71004">
      <w:pPr>
        <w:pStyle w:val="Default"/>
        <w:rPr>
          <w:rFonts w:ascii="Arial" w:hAnsi="Arial" w:cs="Arial"/>
        </w:rPr>
      </w:pPr>
      <w:r w:rsidRPr="00DE34A1">
        <w:rPr>
          <w:rFonts w:ascii="Arial" w:hAnsi="Arial" w:cs="Arial"/>
          <w:b/>
        </w:rPr>
        <w:t>Wolverhampton</w:t>
      </w:r>
      <w:r>
        <w:rPr>
          <w:rFonts w:ascii="Arial" w:hAnsi="Arial" w:cs="Arial"/>
        </w:rPr>
        <w:t xml:space="preserve"> have</w:t>
      </w:r>
      <w:r w:rsidRPr="00B71004">
        <w:rPr>
          <w:rFonts w:ascii="Arial" w:hAnsi="Arial" w:cs="Arial"/>
        </w:rPr>
        <w:t xml:space="preserve"> a </w:t>
      </w:r>
      <w:r w:rsidRPr="00DE34A1">
        <w:rPr>
          <w:rFonts w:ascii="Arial" w:hAnsi="Arial" w:cs="Arial"/>
          <w:b/>
        </w:rPr>
        <w:t>team called power2</w:t>
      </w:r>
      <w:r w:rsidRPr="00B71004">
        <w:rPr>
          <w:rFonts w:ascii="Arial" w:hAnsi="Arial" w:cs="Arial"/>
        </w:rPr>
        <w:t xml:space="preserve"> who will support younger adults (18 -25) who don’t have “care and support needs” and so would usually not fall into adult services, but they are “vulnerable” due </w:t>
      </w:r>
      <w:r w:rsidR="00E27BEB">
        <w:rPr>
          <w:rFonts w:ascii="Arial" w:hAnsi="Arial" w:cs="Arial"/>
        </w:rPr>
        <w:t xml:space="preserve">to past exploitation or trauma - </w:t>
      </w:r>
      <w:r w:rsidRPr="00B71004">
        <w:rPr>
          <w:rFonts w:ascii="Arial" w:hAnsi="Arial" w:cs="Arial"/>
        </w:rPr>
        <w:t xml:space="preserve">e.g. CSE, grooming </w:t>
      </w:r>
      <w:r w:rsidR="00E27BEB">
        <w:rPr>
          <w:rFonts w:ascii="Arial" w:hAnsi="Arial" w:cs="Arial"/>
        </w:rPr>
        <w:t>etc</w:t>
      </w:r>
      <w:r w:rsidRPr="00B71004">
        <w:rPr>
          <w:rFonts w:ascii="Arial" w:hAnsi="Arial" w:cs="Arial"/>
        </w:rPr>
        <w:t>. Team is multi-disciplinary and based on trauma informed approached.</w:t>
      </w:r>
    </w:p>
    <w:p w:rsidR="00B71004" w:rsidRPr="00B71004" w:rsidRDefault="00B71004" w:rsidP="00B71004">
      <w:pPr>
        <w:pStyle w:val="Default"/>
        <w:rPr>
          <w:rFonts w:ascii="Arial" w:hAnsi="Arial" w:cs="Arial"/>
        </w:rPr>
      </w:pPr>
    </w:p>
    <w:p w:rsidR="00B71004" w:rsidRDefault="00B71004" w:rsidP="00B71004">
      <w:pPr>
        <w:pStyle w:val="Default"/>
        <w:rPr>
          <w:rFonts w:ascii="Arial" w:hAnsi="Arial" w:cs="Arial"/>
        </w:rPr>
      </w:pPr>
      <w:r w:rsidRPr="00B71004">
        <w:rPr>
          <w:rFonts w:ascii="Arial" w:hAnsi="Arial" w:cs="Arial"/>
        </w:rPr>
        <w:t>Funding for this team has come from the West Midlands Police and Crime Commissioner.</w:t>
      </w:r>
    </w:p>
    <w:p w:rsidR="00DE34A1" w:rsidRDefault="00DE34A1" w:rsidP="00B71004">
      <w:pPr>
        <w:pStyle w:val="Default"/>
        <w:rPr>
          <w:rFonts w:ascii="Arial" w:hAnsi="Arial" w:cs="Arial"/>
        </w:rPr>
      </w:pPr>
    </w:p>
    <w:p w:rsidR="00DE34A1" w:rsidRDefault="00DE34A1" w:rsidP="00B71004">
      <w:pPr>
        <w:pStyle w:val="Default"/>
        <w:rPr>
          <w:rFonts w:ascii="Arial" w:hAnsi="Arial" w:cs="Arial"/>
        </w:rPr>
      </w:pPr>
    </w:p>
    <w:p w:rsidR="00DE34A1" w:rsidRPr="00DE34A1" w:rsidRDefault="00DE34A1" w:rsidP="00DE34A1">
      <w:pPr>
        <w:rPr>
          <w:b/>
        </w:rPr>
      </w:pPr>
      <w:r w:rsidRPr="00DE34A1">
        <w:rPr>
          <w:b/>
        </w:rPr>
        <w:t>West Midlands Childrens Regional Exploitation Policy/procedure</w:t>
      </w:r>
    </w:p>
    <w:p w:rsidR="00DE34A1" w:rsidRDefault="006B2FE2" w:rsidP="00DE34A1">
      <w:hyperlink r:id="rId31" w:history="1">
        <w:r w:rsidR="00DE34A1" w:rsidRPr="003C0879">
          <w:rPr>
            <w:rStyle w:val="Hyperlink"/>
          </w:rPr>
          <w:t>https://westmidlands.procedures.org.uk/pkpzs/regional-safeguarding-guidance/children-affected-by-exploitation-and-trafficking-including-gangs</w:t>
        </w:r>
      </w:hyperlink>
    </w:p>
    <w:p w:rsidR="00B60374" w:rsidRDefault="00DE34A1" w:rsidP="00DE34A1">
      <w:pPr>
        <w:rPr>
          <w:color w:val="000000"/>
        </w:rPr>
      </w:pPr>
      <w:r w:rsidRPr="00DE34A1">
        <w:t xml:space="preserve"> </w:t>
      </w:r>
      <w:r w:rsidRPr="00DE34A1">
        <w:br/>
      </w:r>
      <w:r w:rsidR="00B60374">
        <w:br w:type="page"/>
      </w:r>
    </w:p>
    <w:p w:rsidR="00B60374" w:rsidRDefault="00B60374" w:rsidP="005F63B4">
      <w:pPr>
        <w:pStyle w:val="Default"/>
        <w:rPr>
          <w:rFonts w:ascii="Arial" w:hAnsi="Arial" w:cs="Arial"/>
        </w:rPr>
        <w:sectPr w:rsidR="00B60374">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pPr>
    </w:p>
    <w:p w:rsidR="00B60374" w:rsidRPr="00101A13" w:rsidRDefault="00B60374" w:rsidP="00B60374">
      <w:pPr>
        <w:rPr>
          <w:b/>
          <w:sz w:val="28"/>
          <w:szCs w:val="28"/>
        </w:rPr>
      </w:pPr>
      <w:r w:rsidRPr="00101A13">
        <w:rPr>
          <w:b/>
          <w:sz w:val="28"/>
          <w:szCs w:val="28"/>
        </w:rPr>
        <w:t>West Midlands Region – Exploitation</w:t>
      </w:r>
    </w:p>
    <w:tbl>
      <w:tblPr>
        <w:tblStyle w:val="TableGrid"/>
        <w:tblW w:w="16160" w:type="dxa"/>
        <w:tblInd w:w="-1139" w:type="dxa"/>
        <w:tblLook w:val="04A0" w:firstRow="1" w:lastRow="0" w:firstColumn="1" w:lastColumn="0" w:noHBand="0" w:noVBand="1"/>
      </w:tblPr>
      <w:tblGrid>
        <w:gridCol w:w="1757"/>
        <w:gridCol w:w="2057"/>
        <w:gridCol w:w="2058"/>
        <w:gridCol w:w="1783"/>
        <w:gridCol w:w="2410"/>
        <w:gridCol w:w="2268"/>
        <w:gridCol w:w="1701"/>
        <w:gridCol w:w="2126"/>
      </w:tblGrid>
      <w:tr w:rsidR="00B60374" w:rsidTr="002163B3">
        <w:tc>
          <w:tcPr>
            <w:tcW w:w="1757" w:type="dxa"/>
          </w:tcPr>
          <w:p w:rsidR="00B60374" w:rsidRPr="009E2043" w:rsidRDefault="00B60374" w:rsidP="00A149E1">
            <w:pPr>
              <w:jc w:val="right"/>
              <w:rPr>
                <w:sz w:val="22"/>
                <w:szCs w:val="22"/>
              </w:rPr>
            </w:pPr>
            <w:r w:rsidRPr="009E2043">
              <w:rPr>
                <w:sz w:val="22"/>
                <w:szCs w:val="22"/>
              </w:rPr>
              <w:t xml:space="preserve">Questions </w:t>
            </w:r>
            <w:r w:rsidRPr="009E2043">
              <w:rPr>
                <w:sz w:val="22"/>
                <w:szCs w:val="22"/>
              </w:rPr>
              <w:sym w:font="Wingdings" w:char="F0E8"/>
            </w:r>
          </w:p>
          <w:p w:rsidR="00B60374" w:rsidRDefault="00B60374" w:rsidP="00A149E1">
            <w:pPr>
              <w:rPr>
                <w:sz w:val="22"/>
                <w:szCs w:val="22"/>
              </w:rPr>
            </w:pPr>
          </w:p>
          <w:p w:rsidR="00B60374" w:rsidRDefault="00B60374" w:rsidP="00A149E1">
            <w:pPr>
              <w:rPr>
                <w:sz w:val="22"/>
                <w:szCs w:val="22"/>
              </w:rPr>
            </w:pPr>
          </w:p>
          <w:p w:rsidR="00B60374" w:rsidRDefault="00B60374" w:rsidP="00A149E1">
            <w:pPr>
              <w:rPr>
                <w:sz w:val="22"/>
                <w:szCs w:val="22"/>
              </w:rPr>
            </w:pPr>
          </w:p>
          <w:p w:rsidR="00B60374" w:rsidRPr="009E2043" w:rsidRDefault="00B60374" w:rsidP="00A149E1">
            <w:pPr>
              <w:rPr>
                <w:sz w:val="22"/>
                <w:szCs w:val="22"/>
              </w:rPr>
            </w:pPr>
            <w:r w:rsidRPr="009E2043">
              <w:rPr>
                <w:sz w:val="22"/>
                <w:szCs w:val="22"/>
              </w:rPr>
              <w:t xml:space="preserve">Areas </w:t>
            </w:r>
            <w:r w:rsidRPr="009E2043">
              <w:rPr>
                <w:sz w:val="22"/>
                <w:szCs w:val="22"/>
              </w:rPr>
              <w:sym w:font="Wingdings" w:char="F0EA"/>
            </w:r>
          </w:p>
        </w:tc>
        <w:tc>
          <w:tcPr>
            <w:tcW w:w="2057" w:type="dxa"/>
            <w:shd w:val="clear" w:color="auto" w:fill="9CC2E5" w:themeFill="accent1" w:themeFillTint="99"/>
          </w:tcPr>
          <w:p w:rsidR="00B60374" w:rsidRPr="009E2043" w:rsidRDefault="00B60374" w:rsidP="00A149E1">
            <w:pPr>
              <w:jc w:val="center"/>
              <w:rPr>
                <w:sz w:val="22"/>
                <w:szCs w:val="22"/>
              </w:rPr>
            </w:pPr>
            <w:r w:rsidRPr="009E2043">
              <w:rPr>
                <w:sz w:val="22"/>
                <w:szCs w:val="22"/>
              </w:rPr>
              <w:t xml:space="preserve">Adult or joint adult &amp; children </w:t>
            </w:r>
            <w:r w:rsidRPr="009E2043">
              <w:rPr>
                <w:b/>
                <w:sz w:val="22"/>
                <w:szCs w:val="22"/>
              </w:rPr>
              <w:t>Exploitation Strateg</w:t>
            </w:r>
            <w:r w:rsidRPr="009E2043">
              <w:rPr>
                <w:sz w:val="22"/>
                <w:szCs w:val="22"/>
              </w:rPr>
              <w:t>y</w:t>
            </w:r>
          </w:p>
        </w:tc>
        <w:tc>
          <w:tcPr>
            <w:tcW w:w="2058" w:type="dxa"/>
            <w:shd w:val="clear" w:color="auto" w:fill="9CC2E5" w:themeFill="accent1" w:themeFillTint="99"/>
          </w:tcPr>
          <w:p w:rsidR="00B60374" w:rsidRPr="009E2043" w:rsidRDefault="00B60374" w:rsidP="00A149E1">
            <w:pPr>
              <w:jc w:val="center"/>
              <w:rPr>
                <w:sz w:val="22"/>
                <w:szCs w:val="22"/>
              </w:rPr>
            </w:pPr>
            <w:r w:rsidRPr="009E2043">
              <w:rPr>
                <w:sz w:val="22"/>
                <w:szCs w:val="22"/>
              </w:rPr>
              <w:t xml:space="preserve">Adult or joint adult &amp; children exploitation </w:t>
            </w:r>
            <w:r w:rsidRPr="009E2043">
              <w:rPr>
                <w:b/>
                <w:sz w:val="22"/>
                <w:szCs w:val="22"/>
              </w:rPr>
              <w:t>screening tool</w:t>
            </w:r>
          </w:p>
        </w:tc>
        <w:tc>
          <w:tcPr>
            <w:tcW w:w="1783" w:type="dxa"/>
            <w:shd w:val="clear" w:color="auto" w:fill="9CC2E5" w:themeFill="accent1" w:themeFillTint="99"/>
          </w:tcPr>
          <w:p w:rsidR="00B60374" w:rsidRPr="009E2043" w:rsidRDefault="00B60374" w:rsidP="00A149E1">
            <w:pPr>
              <w:jc w:val="center"/>
              <w:rPr>
                <w:sz w:val="22"/>
                <w:szCs w:val="22"/>
              </w:rPr>
            </w:pPr>
            <w:r w:rsidRPr="009E2043">
              <w:rPr>
                <w:sz w:val="22"/>
                <w:szCs w:val="22"/>
              </w:rPr>
              <w:t xml:space="preserve">Adult or joint adult &amp; children exploitation </w:t>
            </w:r>
            <w:r w:rsidRPr="009E2043">
              <w:rPr>
                <w:b/>
                <w:sz w:val="22"/>
                <w:szCs w:val="22"/>
              </w:rPr>
              <w:t>risk assessment tool</w:t>
            </w:r>
          </w:p>
        </w:tc>
        <w:tc>
          <w:tcPr>
            <w:tcW w:w="2410" w:type="dxa"/>
            <w:shd w:val="clear" w:color="auto" w:fill="9CC2E5" w:themeFill="accent1" w:themeFillTint="99"/>
          </w:tcPr>
          <w:p w:rsidR="00B60374" w:rsidRPr="00101A13" w:rsidRDefault="00B60374" w:rsidP="00A149E1">
            <w:pPr>
              <w:jc w:val="center"/>
              <w:rPr>
                <w:rFonts w:ascii="Calibri" w:hAnsi="Calibri" w:cs="Calibri"/>
                <w:sz w:val="22"/>
                <w:szCs w:val="22"/>
              </w:rPr>
            </w:pPr>
            <w:r w:rsidRPr="00101A13">
              <w:rPr>
                <w:sz w:val="22"/>
                <w:szCs w:val="22"/>
              </w:rPr>
              <w:t>A</w:t>
            </w:r>
            <w:r w:rsidRPr="009E2043">
              <w:rPr>
                <w:sz w:val="22"/>
                <w:szCs w:val="22"/>
              </w:rPr>
              <w:t xml:space="preserve">dult </w:t>
            </w:r>
            <w:r w:rsidRPr="009E2043">
              <w:rPr>
                <w:b/>
                <w:sz w:val="22"/>
                <w:szCs w:val="22"/>
              </w:rPr>
              <w:t>exploitation pathway</w:t>
            </w:r>
          </w:p>
          <w:p w:rsidR="00B60374" w:rsidRPr="009E2043" w:rsidRDefault="00B60374" w:rsidP="00A149E1">
            <w:pPr>
              <w:jc w:val="center"/>
              <w:rPr>
                <w:sz w:val="22"/>
                <w:szCs w:val="22"/>
              </w:rPr>
            </w:pPr>
          </w:p>
        </w:tc>
        <w:tc>
          <w:tcPr>
            <w:tcW w:w="2268" w:type="dxa"/>
            <w:shd w:val="clear" w:color="auto" w:fill="9CC2E5" w:themeFill="accent1" w:themeFillTint="99"/>
          </w:tcPr>
          <w:p w:rsidR="00B60374" w:rsidRPr="009E2043" w:rsidRDefault="00B60374" w:rsidP="00A149E1">
            <w:pPr>
              <w:jc w:val="center"/>
              <w:rPr>
                <w:sz w:val="22"/>
                <w:szCs w:val="22"/>
              </w:rPr>
            </w:pPr>
            <w:r w:rsidRPr="009E2043">
              <w:rPr>
                <w:sz w:val="22"/>
                <w:szCs w:val="22"/>
              </w:rPr>
              <w:t xml:space="preserve">Other </w:t>
            </w:r>
            <w:r w:rsidRPr="009E2043">
              <w:rPr>
                <w:b/>
                <w:sz w:val="22"/>
                <w:szCs w:val="22"/>
              </w:rPr>
              <w:t>adult exploitation tools</w:t>
            </w:r>
          </w:p>
        </w:tc>
        <w:tc>
          <w:tcPr>
            <w:tcW w:w="1701" w:type="dxa"/>
            <w:shd w:val="clear" w:color="auto" w:fill="9CC2E5" w:themeFill="accent1" w:themeFillTint="99"/>
          </w:tcPr>
          <w:p w:rsidR="00B60374" w:rsidRPr="009E2043" w:rsidRDefault="00B60374" w:rsidP="00A149E1">
            <w:pPr>
              <w:jc w:val="center"/>
              <w:rPr>
                <w:sz w:val="22"/>
                <w:szCs w:val="22"/>
              </w:rPr>
            </w:pPr>
            <w:r w:rsidRPr="009E2043">
              <w:rPr>
                <w:sz w:val="22"/>
                <w:szCs w:val="22"/>
              </w:rPr>
              <w:t xml:space="preserve">A </w:t>
            </w:r>
            <w:r w:rsidRPr="009E2043">
              <w:rPr>
                <w:b/>
                <w:sz w:val="22"/>
                <w:szCs w:val="22"/>
              </w:rPr>
              <w:t>lead in your Local Authority for Adult Exploitation</w:t>
            </w:r>
          </w:p>
        </w:tc>
        <w:tc>
          <w:tcPr>
            <w:tcW w:w="2126" w:type="dxa"/>
            <w:shd w:val="clear" w:color="auto" w:fill="9CC2E5" w:themeFill="accent1" w:themeFillTint="99"/>
          </w:tcPr>
          <w:p w:rsidR="00B60374" w:rsidRPr="009E2043" w:rsidRDefault="00B60374" w:rsidP="002163B3">
            <w:pPr>
              <w:jc w:val="center"/>
              <w:rPr>
                <w:sz w:val="22"/>
                <w:szCs w:val="22"/>
              </w:rPr>
            </w:pPr>
            <w:r w:rsidRPr="009E2043">
              <w:rPr>
                <w:sz w:val="22"/>
                <w:szCs w:val="22"/>
              </w:rPr>
              <w:t xml:space="preserve">A </w:t>
            </w:r>
            <w:r w:rsidRPr="009E2043">
              <w:rPr>
                <w:b/>
                <w:sz w:val="22"/>
                <w:szCs w:val="22"/>
              </w:rPr>
              <w:t xml:space="preserve">joint team in your Local Authority for adult </w:t>
            </w:r>
            <w:r w:rsidR="002163B3">
              <w:rPr>
                <w:b/>
                <w:sz w:val="22"/>
                <w:szCs w:val="22"/>
              </w:rPr>
              <w:t>&amp;</w:t>
            </w:r>
            <w:r w:rsidRPr="009E2043">
              <w:rPr>
                <w:b/>
                <w:sz w:val="22"/>
                <w:szCs w:val="22"/>
              </w:rPr>
              <w:t xml:space="preserve"> child exploitation</w:t>
            </w:r>
          </w:p>
        </w:tc>
      </w:tr>
      <w:tr w:rsidR="00B60374" w:rsidTr="002163B3">
        <w:tc>
          <w:tcPr>
            <w:tcW w:w="1757" w:type="dxa"/>
            <w:shd w:val="clear" w:color="auto" w:fill="9CC2E5" w:themeFill="accent1" w:themeFillTint="99"/>
          </w:tcPr>
          <w:p w:rsidR="00B60374" w:rsidRPr="009E2043" w:rsidRDefault="00B60374" w:rsidP="00A149E1">
            <w:pPr>
              <w:rPr>
                <w:sz w:val="22"/>
                <w:szCs w:val="22"/>
              </w:rPr>
            </w:pPr>
            <w:r w:rsidRPr="009E2043">
              <w:rPr>
                <w:sz w:val="22"/>
                <w:szCs w:val="22"/>
              </w:rPr>
              <w:t>Birmingham</w:t>
            </w:r>
          </w:p>
          <w:p w:rsidR="00B60374" w:rsidRPr="009E2043" w:rsidRDefault="00B60374" w:rsidP="00A149E1">
            <w:pPr>
              <w:rPr>
                <w:sz w:val="22"/>
                <w:szCs w:val="22"/>
              </w:rPr>
            </w:pPr>
          </w:p>
        </w:tc>
        <w:tc>
          <w:tcPr>
            <w:tcW w:w="2057" w:type="dxa"/>
          </w:tcPr>
          <w:p w:rsidR="00B60374" w:rsidRPr="00B60374" w:rsidRDefault="00B60374" w:rsidP="00A149E1">
            <w:pPr>
              <w:jc w:val="center"/>
              <w:rPr>
                <w:sz w:val="20"/>
                <w:szCs w:val="20"/>
              </w:rPr>
            </w:pPr>
          </w:p>
        </w:tc>
        <w:tc>
          <w:tcPr>
            <w:tcW w:w="2058" w:type="dxa"/>
          </w:tcPr>
          <w:p w:rsidR="00B60374" w:rsidRPr="00B60374" w:rsidRDefault="00B60374" w:rsidP="00A149E1">
            <w:pPr>
              <w:jc w:val="center"/>
              <w:rPr>
                <w:sz w:val="20"/>
                <w:szCs w:val="20"/>
              </w:rPr>
            </w:pPr>
          </w:p>
        </w:tc>
        <w:tc>
          <w:tcPr>
            <w:tcW w:w="1783" w:type="dxa"/>
          </w:tcPr>
          <w:p w:rsidR="00B60374" w:rsidRPr="00B60374" w:rsidRDefault="00B60374" w:rsidP="00A149E1">
            <w:pPr>
              <w:jc w:val="center"/>
              <w:rPr>
                <w:sz w:val="20"/>
                <w:szCs w:val="20"/>
              </w:rPr>
            </w:pPr>
          </w:p>
        </w:tc>
        <w:tc>
          <w:tcPr>
            <w:tcW w:w="2410" w:type="dxa"/>
          </w:tcPr>
          <w:p w:rsidR="00B60374" w:rsidRPr="00B60374" w:rsidRDefault="00B60374" w:rsidP="00A149E1">
            <w:pPr>
              <w:jc w:val="center"/>
              <w:rPr>
                <w:sz w:val="20"/>
                <w:szCs w:val="20"/>
              </w:rPr>
            </w:pPr>
          </w:p>
        </w:tc>
        <w:tc>
          <w:tcPr>
            <w:tcW w:w="2268" w:type="dxa"/>
          </w:tcPr>
          <w:p w:rsidR="00B60374" w:rsidRPr="00B60374" w:rsidRDefault="00B60374" w:rsidP="00A149E1">
            <w:pPr>
              <w:jc w:val="center"/>
              <w:rPr>
                <w:sz w:val="20"/>
                <w:szCs w:val="20"/>
              </w:rPr>
            </w:pPr>
          </w:p>
        </w:tc>
        <w:tc>
          <w:tcPr>
            <w:tcW w:w="1701" w:type="dxa"/>
          </w:tcPr>
          <w:p w:rsidR="00B60374" w:rsidRPr="00B60374" w:rsidRDefault="00B60374" w:rsidP="00A149E1">
            <w:pPr>
              <w:jc w:val="center"/>
              <w:rPr>
                <w:sz w:val="20"/>
                <w:szCs w:val="20"/>
              </w:rPr>
            </w:pPr>
          </w:p>
        </w:tc>
        <w:tc>
          <w:tcPr>
            <w:tcW w:w="2126" w:type="dxa"/>
          </w:tcPr>
          <w:p w:rsidR="00B60374" w:rsidRPr="00B60374" w:rsidRDefault="00B60374" w:rsidP="00A149E1">
            <w:pPr>
              <w:jc w:val="center"/>
              <w:rPr>
                <w:sz w:val="20"/>
                <w:szCs w:val="20"/>
              </w:rPr>
            </w:pPr>
          </w:p>
        </w:tc>
      </w:tr>
      <w:tr w:rsidR="00B60374" w:rsidTr="002163B3">
        <w:tc>
          <w:tcPr>
            <w:tcW w:w="1757" w:type="dxa"/>
            <w:shd w:val="clear" w:color="auto" w:fill="9CC2E5" w:themeFill="accent1" w:themeFillTint="99"/>
          </w:tcPr>
          <w:p w:rsidR="00B60374" w:rsidRPr="009E2043" w:rsidRDefault="00B60374" w:rsidP="00A149E1">
            <w:pPr>
              <w:rPr>
                <w:sz w:val="22"/>
                <w:szCs w:val="22"/>
              </w:rPr>
            </w:pPr>
            <w:r w:rsidRPr="009E2043">
              <w:rPr>
                <w:sz w:val="22"/>
                <w:szCs w:val="22"/>
              </w:rPr>
              <w:t>Coventry</w:t>
            </w:r>
          </w:p>
          <w:p w:rsidR="00B60374" w:rsidRPr="009E2043" w:rsidRDefault="00B60374" w:rsidP="00A149E1">
            <w:pPr>
              <w:rPr>
                <w:sz w:val="22"/>
                <w:szCs w:val="22"/>
              </w:rPr>
            </w:pPr>
          </w:p>
        </w:tc>
        <w:tc>
          <w:tcPr>
            <w:tcW w:w="2057" w:type="dxa"/>
          </w:tcPr>
          <w:p w:rsidR="00B60374" w:rsidRPr="00B60374" w:rsidRDefault="00B60374" w:rsidP="00A149E1">
            <w:pPr>
              <w:jc w:val="center"/>
              <w:rPr>
                <w:sz w:val="20"/>
                <w:szCs w:val="20"/>
              </w:rPr>
            </w:pPr>
            <w:r w:rsidRPr="00B60374">
              <w:rPr>
                <w:sz w:val="20"/>
                <w:szCs w:val="20"/>
              </w:rPr>
              <w:t>No</w:t>
            </w:r>
          </w:p>
        </w:tc>
        <w:tc>
          <w:tcPr>
            <w:tcW w:w="2058" w:type="dxa"/>
          </w:tcPr>
          <w:p w:rsidR="00B60374" w:rsidRPr="00B60374" w:rsidRDefault="00B60374" w:rsidP="00A149E1">
            <w:pPr>
              <w:jc w:val="center"/>
              <w:rPr>
                <w:sz w:val="20"/>
                <w:szCs w:val="20"/>
              </w:rPr>
            </w:pPr>
            <w:r w:rsidRPr="00B60374">
              <w:rPr>
                <w:sz w:val="20"/>
                <w:szCs w:val="20"/>
              </w:rPr>
              <w:t>No</w:t>
            </w:r>
          </w:p>
        </w:tc>
        <w:tc>
          <w:tcPr>
            <w:tcW w:w="1783" w:type="dxa"/>
          </w:tcPr>
          <w:p w:rsidR="00B60374" w:rsidRPr="00B60374" w:rsidRDefault="00B60374" w:rsidP="00A149E1">
            <w:pPr>
              <w:jc w:val="center"/>
              <w:rPr>
                <w:sz w:val="20"/>
                <w:szCs w:val="20"/>
              </w:rPr>
            </w:pPr>
            <w:r w:rsidRPr="00B60374">
              <w:rPr>
                <w:sz w:val="20"/>
                <w:szCs w:val="20"/>
              </w:rPr>
              <w:t>No</w:t>
            </w:r>
          </w:p>
        </w:tc>
        <w:tc>
          <w:tcPr>
            <w:tcW w:w="2410" w:type="dxa"/>
          </w:tcPr>
          <w:p w:rsidR="00B60374" w:rsidRPr="00B60374" w:rsidRDefault="00B60374" w:rsidP="00A149E1">
            <w:pPr>
              <w:jc w:val="center"/>
              <w:rPr>
                <w:sz w:val="20"/>
                <w:szCs w:val="20"/>
              </w:rPr>
            </w:pPr>
            <w:r w:rsidRPr="00B60374">
              <w:rPr>
                <w:sz w:val="20"/>
                <w:szCs w:val="20"/>
              </w:rPr>
              <w:t>No</w:t>
            </w:r>
          </w:p>
        </w:tc>
        <w:tc>
          <w:tcPr>
            <w:tcW w:w="2268" w:type="dxa"/>
          </w:tcPr>
          <w:p w:rsidR="00B60374" w:rsidRPr="00B60374" w:rsidRDefault="00B60374" w:rsidP="00A149E1">
            <w:pPr>
              <w:jc w:val="center"/>
              <w:rPr>
                <w:sz w:val="20"/>
                <w:szCs w:val="20"/>
              </w:rPr>
            </w:pPr>
            <w:r w:rsidRPr="00B60374">
              <w:rPr>
                <w:sz w:val="20"/>
                <w:szCs w:val="20"/>
              </w:rPr>
              <w:t>No</w:t>
            </w:r>
          </w:p>
        </w:tc>
        <w:tc>
          <w:tcPr>
            <w:tcW w:w="1701" w:type="dxa"/>
          </w:tcPr>
          <w:p w:rsidR="00B60374" w:rsidRPr="00B60374" w:rsidRDefault="00B60374" w:rsidP="00A149E1">
            <w:pPr>
              <w:jc w:val="center"/>
              <w:rPr>
                <w:sz w:val="20"/>
                <w:szCs w:val="20"/>
              </w:rPr>
            </w:pPr>
            <w:r w:rsidRPr="00B60374">
              <w:rPr>
                <w:sz w:val="20"/>
                <w:szCs w:val="20"/>
              </w:rPr>
              <w:t>No</w:t>
            </w:r>
          </w:p>
        </w:tc>
        <w:tc>
          <w:tcPr>
            <w:tcW w:w="2126" w:type="dxa"/>
          </w:tcPr>
          <w:p w:rsidR="00B60374" w:rsidRPr="00B60374" w:rsidRDefault="00B60374" w:rsidP="00A149E1">
            <w:pPr>
              <w:jc w:val="center"/>
              <w:rPr>
                <w:sz w:val="20"/>
                <w:szCs w:val="20"/>
              </w:rPr>
            </w:pPr>
            <w:r w:rsidRPr="00B60374">
              <w:rPr>
                <w:sz w:val="20"/>
                <w:szCs w:val="20"/>
              </w:rPr>
              <w:t>No</w:t>
            </w:r>
          </w:p>
        </w:tc>
      </w:tr>
      <w:tr w:rsidR="00CF5C21" w:rsidTr="002163B3">
        <w:tc>
          <w:tcPr>
            <w:tcW w:w="1757" w:type="dxa"/>
            <w:shd w:val="clear" w:color="auto" w:fill="9CC2E5" w:themeFill="accent1" w:themeFillTint="99"/>
          </w:tcPr>
          <w:p w:rsidR="00CF5C21" w:rsidRPr="009E2043" w:rsidRDefault="00CF5C21" w:rsidP="00CF5C21">
            <w:pPr>
              <w:rPr>
                <w:sz w:val="22"/>
                <w:szCs w:val="22"/>
              </w:rPr>
            </w:pPr>
            <w:r w:rsidRPr="009E2043">
              <w:rPr>
                <w:sz w:val="22"/>
                <w:szCs w:val="22"/>
              </w:rPr>
              <w:t>Dudley</w:t>
            </w:r>
          </w:p>
          <w:p w:rsidR="00CF5C21" w:rsidRPr="009E2043" w:rsidRDefault="00CF5C21" w:rsidP="00CF5C21">
            <w:pPr>
              <w:rPr>
                <w:sz w:val="22"/>
                <w:szCs w:val="22"/>
              </w:rPr>
            </w:pPr>
          </w:p>
        </w:tc>
        <w:tc>
          <w:tcPr>
            <w:tcW w:w="2057" w:type="dxa"/>
          </w:tcPr>
          <w:p w:rsidR="00CF5C21" w:rsidRPr="00B60374" w:rsidRDefault="00CF5C21" w:rsidP="00CF5C21">
            <w:pPr>
              <w:jc w:val="center"/>
              <w:rPr>
                <w:sz w:val="20"/>
                <w:szCs w:val="20"/>
              </w:rPr>
            </w:pPr>
            <w:r w:rsidRPr="00B60374">
              <w:rPr>
                <w:sz w:val="20"/>
                <w:szCs w:val="20"/>
              </w:rPr>
              <w:t>No</w:t>
            </w:r>
          </w:p>
        </w:tc>
        <w:tc>
          <w:tcPr>
            <w:tcW w:w="2058" w:type="dxa"/>
          </w:tcPr>
          <w:p w:rsidR="00CF5C21" w:rsidRPr="00B60374" w:rsidRDefault="00CF5C21" w:rsidP="00CF5C21">
            <w:pPr>
              <w:jc w:val="center"/>
              <w:rPr>
                <w:sz w:val="20"/>
                <w:szCs w:val="20"/>
              </w:rPr>
            </w:pPr>
            <w:r w:rsidRPr="00B60374">
              <w:rPr>
                <w:sz w:val="20"/>
                <w:szCs w:val="20"/>
              </w:rPr>
              <w:t>No</w:t>
            </w:r>
          </w:p>
        </w:tc>
        <w:tc>
          <w:tcPr>
            <w:tcW w:w="1783" w:type="dxa"/>
          </w:tcPr>
          <w:p w:rsidR="00CF5C21" w:rsidRPr="00B60374" w:rsidRDefault="00CF5C21" w:rsidP="00CF5C21">
            <w:pPr>
              <w:jc w:val="center"/>
              <w:rPr>
                <w:sz w:val="20"/>
                <w:szCs w:val="20"/>
              </w:rPr>
            </w:pPr>
            <w:r w:rsidRPr="00B60374">
              <w:rPr>
                <w:sz w:val="20"/>
                <w:szCs w:val="20"/>
              </w:rPr>
              <w:t>No</w:t>
            </w:r>
          </w:p>
        </w:tc>
        <w:tc>
          <w:tcPr>
            <w:tcW w:w="2410" w:type="dxa"/>
          </w:tcPr>
          <w:p w:rsidR="00CF5C21" w:rsidRPr="00B60374" w:rsidRDefault="00CF5C21" w:rsidP="00CF5C21">
            <w:pPr>
              <w:jc w:val="center"/>
              <w:rPr>
                <w:sz w:val="20"/>
                <w:szCs w:val="20"/>
              </w:rPr>
            </w:pPr>
            <w:r w:rsidRPr="00B60374">
              <w:rPr>
                <w:sz w:val="20"/>
                <w:szCs w:val="20"/>
              </w:rPr>
              <w:t>No</w:t>
            </w:r>
          </w:p>
        </w:tc>
        <w:tc>
          <w:tcPr>
            <w:tcW w:w="2268" w:type="dxa"/>
          </w:tcPr>
          <w:p w:rsidR="00CF5C21" w:rsidRPr="00B60374" w:rsidRDefault="00CF5C21" w:rsidP="00CF5C21">
            <w:pPr>
              <w:jc w:val="center"/>
              <w:rPr>
                <w:sz w:val="20"/>
                <w:szCs w:val="20"/>
              </w:rPr>
            </w:pPr>
            <w:r w:rsidRPr="00B60374">
              <w:rPr>
                <w:sz w:val="20"/>
                <w:szCs w:val="20"/>
              </w:rPr>
              <w:t>No</w:t>
            </w:r>
          </w:p>
        </w:tc>
        <w:tc>
          <w:tcPr>
            <w:tcW w:w="1701" w:type="dxa"/>
          </w:tcPr>
          <w:p w:rsidR="00CF5C21" w:rsidRPr="00B60374" w:rsidRDefault="00CF5C21" w:rsidP="00CF5C21">
            <w:pPr>
              <w:jc w:val="center"/>
              <w:rPr>
                <w:sz w:val="20"/>
                <w:szCs w:val="20"/>
              </w:rPr>
            </w:pPr>
            <w:r w:rsidRPr="00B60374">
              <w:rPr>
                <w:sz w:val="20"/>
                <w:szCs w:val="20"/>
              </w:rPr>
              <w:t>No</w:t>
            </w:r>
          </w:p>
        </w:tc>
        <w:tc>
          <w:tcPr>
            <w:tcW w:w="2126" w:type="dxa"/>
          </w:tcPr>
          <w:p w:rsidR="00CF5C21" w:rsidRPr="00B60374" w:rsidRDefault="00CF5C21" w:rsidP="00CF5C21">
            <w:pPr>
              <w:jc w:val="center"/>
              <w:rPr>
                <w:sz w:val="20"/>
                <w:szCs w:val="20"/>
              </w:rPr>
            </w:pPr>
            <w:r w:rsidRPr="00B60374">
              <w:rPr>
                <w:sz w:val="20"/>
                <w:szCs w:val="20"/>
              </w:rPr>
              <w:t>No</w:t>
            </w:r>
          </w:p>
        </w:tc>
      </w:tr>
      <w:tr w:rsidR="00CF5C21" w:rsidTr="002163B3">
        <w:tc>
          <w:tcPr>
            <w:tcW w:w="1757" w:type="dxa"/>
            <w:shd w:val="clear" w:color="auto" w:fill="9CC2E5" w:themeFill="accent1" w:themeFillTint="99"/>
          </w:tcPr>
          <w:p w:rsidR="00CF5C21" w:rsidRPr="009E2043" w:rsidRDefault="00CF5C21" w:rsidP="00CF5C21">
            <w:pPr>
              <w:rPr>
                <w:sz w:val="22"/>
                <w:szCs w:val="22"/>
              </w:rPr>
            </w:pPr>
            <w:r w:rsidRPr="009E2043">
              <w:rPr>
                <w:sz w:val="22"/>
                <w:szCs w:val="22"/>
              </w:rPr>
              <w:t>Herefordshire</w:t>
            </w:r>
          </w:p>
          <w:p w:rsidR="00CF5C21" w:rsidRPr="009E2043" w:rsidRDefault="00CF5C21" w:rsidP="00CF5C21">
            <w:pPr>
              <w:rPr>
                <w:sz w:val="22"/>
                <w:szCs w:val="22"/>
              </w:rPr>
            </w:pPr>
          </w:p>
        </w:tc>
        <w:tc>
          <w:tcPr>
            <w:tcW w:w="2057" w:type="dxa"/>
          </w:tcPr>
          <w:p w:rsidR="00CF5C21" w:rsidRPr="00B60374" w:rsidRDefault="00CF5C21" w:rsidP="00CF5C21">
            <w:pPr>
              <w:jc w:val="center"/>
              <w:rPr>
                <w:sz w:val="20"/>
                <w:szCs w:val="20"/>
              </w:rPr>
            </w:pPr>
            <w:r w:rsidRPr="00B60374">
              <w:rPr>
                <w:sz w:val="20"/>
                <w:szCs w:val="20"/>
              </w:rPr>
              <w:t>No</w:t>
            </w:r>
          </w:p>
        </w:tc>
        <w:tc>
          <w:tcPr>
            <w:tcW w:w="2058" w:type="dxa"/>
          </w:tcPr>
          <w:p w:rsidR="00CF5C21" w:rsidRPr="00B60374" w:rsidRDefault="00CF5C21" w:rsidP="00CF5C21">
            <w:pPr>
              <w:jc w:val="center"/>
              <w:rPr>
                <w:sz w:val="20"/>
                <w:szCs w:val="20"/>
              </w:rPr>
            </w:pPr>
            <w:r w:rsidRPr="00B60374">
              <w:rPr>
                <w:sz w:val="20"/>
                <w:szCs w:val="20"/>
              </w:rPr>
              <w:t>No</w:t>
            </w:r>
          </w:p>
        </w:tc>
        <w:tc>
          <w:tcPr>
            <w:tcW w:w="1783" w:type="dxa"/>
          </w:tcPr>
          <w:p w:rsidR="00CF5C21" w:rsidRPr="00B60374" w:rsidRDefault="00CF5C21" w:rsidP="00CF5C21">
            <w:pPr>
              <w:jc w:val="center"/>
              <w:rPr>
                <w:sz w:val="20"/>
                <w:szCs w:val="20"/>
              </w:rPr>
            </w:pPr>
          </w:p>
        </w:tc>
        <w:tc>
          <w:tcPr>
            <w:tcW w:w="2410" w:type="dxa"/>
          </w:tcPr>
          <w:p w:rsidR="00CF5C21" w:rsidRPr="00B60374" w:rsidRDefault="00CF5C21" w:rsidP="00CF5C21">
            <w:pPr>
              <w:jc w:val="center"/>
              <w:rPr>
                <w:sz w:val="20"/>
                <w:szCs w:val="20"/>
              </w:rPr>
            </w:pPr>
            <w:r w:rsidRPr="00B60374">
              <w:rPr>
                <w:sz w:val="20"/>
                <w:szCs w:val="20"/>
              </w:rPr>
              <w:t>No</w:t>
            </w:r>
          </w:p>
        </w:tc>
        <w:tc>
          <w:tcPr>
            <w:tcW w:w="2268" w:type="dxa"/>
          </w:tcPr>
          <w:p w:rsidR="00CF5C21" w:rsidRPr="00B60374" w:rsidRDefault="00CF5C21" w:rsidP="00CF5C21">
            <w:pPr>
              <w:jc w:val="center"/>
              <w:rPr>
                <w:sz w:val="20"/>
                <w:szCs w:val="20"/>
              </w:rPr>
            </w:pPr>
            <w:r w:rsidRPr="00B60374">
              <w:rPr>
                <w:sz w:val="20"/>
                <w:szCs w:val="20"/>
              </w:rPr>
              <w:t>No</w:t>
            </w:r>
          </w:p>
        </w:tc>
        <w:tc>
          <w:tcPr>
            <w:tcW w:w="1701" w:type="dxa"/>
          </w:tcPr>
          <w:p w:rsidR="00CF5C21" w:rsidRPr="00B60374" w:rsidRDefault="00CF5C21" w:rsidP="00CF5C21">
            <w:pPr>
              <w:jc w:val="center"/>
              <w:rPr>
                <w:sz w:val="20"/>
                <w:szCs w:val="20"/>
              </w:rPr>
            </w:pPr>
            <w:r w:rsidRPr="00B60374">
              <w:rPr>
                <w:sz w:val="20"/>
                <w:szCs w:val="20"/>
              </w:rPr>
              <w:t>No</w:t>
            </w:r>
          </w:p>
        </w:tc>
        <w:tc>
          <w:tcPr>
            <w:tcW w:w="2126" w:type="dxa"/>
          </w:tcPr>
          <w:p w:rsidR="00CF5C21" w:rsidRPr="00B60374" w:rsidRDefault="00CF5C21" w:rsidP="00CF5C21">
            <w:pPr>
              <w:jc w:val="center"/>
              <w:rPr>
                <w:sz w:val="20"/>
                <w:szCs w:val="20"/>
              </w:rPr>
            </w:pPr>
            <w:r w:rsidRPr="00B60374">
              <w:rPr>
                <w:sz w:val="20"/>
                <w:szCs w:val="20"/>
              </w:rPr>
              <w:t>Care leavers only (18-25) working towards all age</w:t>
            </w:r>
          </w:p>
        </w:tc>
      </w:tr>
      <w:tr w:rsidR="00CF5C21" w:rsidTr="002163B3">
        <w:tc>
          <w:tcPr>
            <w:tcW w:w="1757" w:type="dxa"/>
            <w:shd w:val="clear" w:color="auto" w:fill="9CC2E5" w:themeFill="accent1" w:themeFillTint="99"/>
          </w:tcPr>
          <w:p w:rsidR="00CF5C21" w:rsidRPr="009E2043" w:rsidRDefault="00CF5C21" w:rsidP="00CF5C21">
            <w:pPr>
              <w:rPr>
                <w:sz w:val="22"/>
                <w:szCs w:val="22"/>
              </w:rPr>
            </w:pPr>
            <w:r w:rsidRPr="009E2043">
              <w:rPr>
                <w:sz w:val="22"/>
                <w:szCs w:val="22"/>
              </w:rPr>
              <w:t>Sandwell</w:t>
            </w:r>
          </w:p>
          <w:p w:rsidR="00CF5C21" w:rsidRPr="009E2043" w:rsidRDefault="00CF5C21" w:rsidP="00CF5C21">
            <w:pPr>
              <w:rPr>
                <w:sz w:val="22"/>
                <w:szCs w:val="22"/>
              </w:rPr>
            </w:pPr>
          </w:p>
        </w:tc>
        <w:tc>
          <w:tcPr>
            <w:tcW w:w="2057" w:type="dxa"/>
          </w:tcPr>
          <w:p w:rsidR="00CF5C21" w:rsidRPr="00B60374" w:rsidRDefault="00CF5C21" w:rsidP="00CF5C21">
            <w:pPr>
              <w:jc w:val="center"/>
              <w:rPr>
                <w:sz w:val="20"/>
                <w:szCs w:val="20"/>
              </w:rPr>
            </w:pPr>
            <w:r w:rsidRPr="00B60374">
              <w:rPr>
                <w:sz w:val="20"/>
                <w:szCs w:val="20"/>
              </w:rPr>
              <w:t>In development</w:t>
            </w:r>
          </w:p>
        </w:tc>
        <w:tc>
          <w:tcPr>
            <w:tcW w:w="2058" w:type="dxa"/>
          </w:tcPr>
          <w:p w:rsidR="00CF5C21" w:rsidRPr="00B60374" w:rsidRDefault="00CF5C21" w:rsidP="00CF5C21">
            <w:pPr>
              <w:jc w:val="center"/>
              <w:rPr>
                <w:sz w:val="20"/>
                <w:szCs w:val="20"/>
              </w:rPr>
            </w:pPr>
            <w:r w:rsidRPr="00B60374">
              <w:rPr>
                <w:sz w:val="20"/>
                <w:szCs w:val="20"/>
              </w:rPr>
              <w:t>No</w:t>
            </w:r>
          </w:p>
        </w:tc>
        <w:tc>
          <w:tcPr>
            <w:tcW w:w="1783" w:type="dxa"/>
          </w:tcPr>
          <w:p w:rsidR="00CF5C21" w:rsidRPr="00B60374" w:rsidRDefault="00CF5C21" w:rsidP="00CF5C21">
            <w:pPr>
              <w:jc w:val="center"/>
              <w:rPr>
                <w:sz w:val="20"/>
                <w:szCs w:val="20"/>
              </w:rPr>
            </w:pPr>
            <w:r w:rsidRPr="00B60374">
              <w:rPr>
                <w:sz w:val="20"/>
                <w:szCs w:val="20"/>
              </w:rPr>
              <w:t>No</w:t>
            </w:r>
          </w:p>
        </w:tc>
        <w:tc>
          <w:tcPr>
            <w:tcW w:w="2410" w:type="dxa"/>
          </w:tcPr>
          <w:p w:rsidR="00CF5C21" w:rsidRPr="00B60374" w:rsidRDefault="00CF5C21" w:rsidP="00CF5C21">
            <w:pPr>
              <w:jc w:val="center"/>
              <w:rPr>
                <w:sz w:val="20"/>
                <w:szCs w:val="20"/>
              </w:rPr>
            </w:pPr>
            <w:r w:rsidRPr="00B60374">
              <w:rPr>
                <w:sz w:val="20"/>
                <w:szCs w:val="20"/>
              </w:rPr>
              <w:t>In development</w:t>
            </w:r>
          </w:p>
        </w:tc>
        <w:tc>
          <w:tcPr>
            <w:tcW w:w="2268" w:type="dxa"/>
          </w:tcPr>
          <w:p w:rsidR="00CF5C21" w:rsidRPr="00B60374" w:rsidRDefault="00CF5C21" w:rsidP="00CF5C21">
            <w:pPr>
              <w:jc w:val="center"/>
              <w:rPr>
                <w:sz w:val="20"/>
                <w:szCs w:val="20"/>
              </w:rPr>
            </w:pPr>
            <w:r w:rsidRPr="00B60374">
              <w:rPr>
                <w:sz w:val="20"/>
                <w:szCs w:val="20"/>
              </w:rPr>
              <w:t>No</w:t>
            </w:r>
          </w:p>
        </w:tc>
        <w:tc>
          <w:tcPr>
            <w:tcW w:w="1701" w:type="dxa"/>
          </w:tcPr>
          <w:p w:rsidR="00CF5C21" w:rsidRPr="00B60374" w:rsidRDefault="00CF5C21" w:rsidP="00CF5C21">
            <w:pPr>
              <w:jc w:val="center"/>
              <w:rPr>
                <w:sz w:val="20"/>
                <w:szCs w:val="20"/>
              </w:rPr>
            </w:pPr>
            <w:r w:rsidRPr="00B60374">
              <w:rPr>
                <w:sz w:val="20"/>
                <w:szCs w:val="20"/>
              </w:rPr>
              <w:t>No</w:t>
            </w:r>
          </w:p>
        </w:tc>
        <w:tc>
          <w:tcPr>
            <w:tcW w:w="2126" w:type="dxa"/>
          </w:tcPr>
          <w:p w:rsidR="00CF5C21" w:rsidRPr="00B60374" w:rsidRDefault="00CF5C21" w:rsidP="00CF5C21">
            <w:pPr>
              <w:jc w:val="center"/>
              <w:rPr>
                <w:sz w:val="20"/>
                <w:szCs w:val="20"/>
              </w:rPr>
            </w:pPr>
            <w:r w:rsidRPr="00B60374">
              <w:rPr>
                <w:sz w:val="20"/>
                <w:szCs w:val="20"/>
              </w:rPr>
              <w:t>No</w:t>
            </w:r>
          </w:p>
        </w:tc>
      </w:tr>
      <w:tr w:rsidR="00CF5C21" w:rsidTr="002163B3">
        <w:tc>
          <w:tcPr>
            <w:tcW w:w="1757" w:type="dxa"/>
            <w:shd w:val="clear" w:color="auto" w:fill="9CC2E5" w:themeFill="accent1" w:themeFillTint="99"/>
          </w:tcPr>
          <w:p w:rsidR="00CF5C21" w:rsidRPr="009E2043" w:rsidRDefault="00CF5C21" w:rsidP="00CF5C21">
            <w:pPr>
              <w:rPr>
                <w:sz w:val="22"/>
                <w:szCs w:val="22"/>
              </w:rPr>
            </w:pPr>
            <w:r w:rsidRPr="009E2043">
              <w:rPr>
                <w:sz w:val="22"/>
                <w:szCs w:val="22"/>
              </w:rPr>
              <w:t>Shropshire</w:t>
            </w:r>
          </w:p>
          <w:p w:rsidR="00CF5C21" w:rsidRPr="009E2043" w:rsidRDefault="00CF5C21" w:rsidP="00CF5C21">
            <w:pPr>
              <w:rPr>
                <w:sz w:val="22"/>
                <w:szCs w:val="22"/>
              </w:rPr>
            </w:pPr>
          </w:p>
        </w:tc>
        <w:tc>
          <w:tcPr>
            <w:tcW w:w="2057" w:type="dxa"/>
          </w:tcPr>
          <w:p w:rsidR="00CF5C21" w:rsidRPr="00B60374" w:rsidRDefault="00CF5C21" w:rsidP="00CF5C21">
            <w:pPr>
              <w:jc w:val="center"/>
              <w:rPr>
                <w:sz w:val="20"/>
                <w:szCs w:val="20"/>
              </w:rPr>
            </w:pPr>
            <w:r w:rsidRPr="00B60374">
              <w:rPr>
                <w:sz w:val="20"/>
                <w:szCs w:val="20"/>
              </w:rPr>
              <w:t>In development</w:t>
            </w:r>
          </w:p>
        </w:tc>
        <w:tc>
          <w:tcPr>
            <w:tcW w:w="2058" w:type="dxa"/>
          </w:tcPr>
          <w:p w:rsidR="00CF5C21" w:rsidRPr="00B60374" w:rsidRDefault="00CF5C21" w:rsidP="00CF5C21">
            <w:pPr>
              <w:jc w:val="center"/>
              <w:rPr>
                <w:sz w:val="20"/>
                <w:szCs w:val="20"/>
              </w:rPr>
            </w:pPr>
            <w:r w:rsidRPr="00B60374">
              <w:rPr>
                <w:sz w:val="20"/>
                <w:szCs w:val="20"/>
              </w:rPr>
              <w:t>No - Adults</w:t>
            </w:r>
          </w:p>
          <w:p w:rsidR="00CF5C21" w:rsidRPr="00B60374" w:rsidRDefault="00CF5C21" w:rsidP="00CF5C21">
            <w:pPr>
              <w:jc w:val="center"/>
              <w:rPr>
                <w:sz w:val="20"/>
                <w:szCs w:val="20"/>
              </w:rPr>
            </w:pPr>
            <w:r w:rsidRPr="00B60374">
              <w:rPr>
                <w:sz w:val="20"/>
                <w:szCs w:val="20"/>
              </w:rPr>
              <w:t>Yes - Children</w:t>
            </w:r>
          </w:p>
        </w:tc>
        <w:tc>
          <w:tcPr>
            <w:tcW w:w="1783" w:type="dxa"/>
          </w:tcPr>
          <w:p w:rsidR="00CF5C21" w:rsidRPr="00B60374" w:rsidRDefault="00CF5C21" w:rsidP="00CF5C21">
            <w:pPr>
              <w:jc w:val="center"/>
              <w:rPr>
                <w:sz w:val="20"/>
                <w:szCs w:val="20"/>
              </w:rPr>
            </w:pPr>
            <w:r w:rsidRPr="00B60374">
              <w:rPr>
                <w:sz w:val="20"/>
                <w:szCs w:val="20"/>
              </w:rPr>
              <w:t xml:space="preserve">No </w:t>
            </w:r>
          </w:p>
          <w:p w:rsidR="00CF5C21" w:rsidRPr="00B60374" w:rsidRDefault="00CF5C21" w:rsidP="00CF5C21">
            <w:pPr>
              <w:jc w:val="center"/>
              <w:rPr>
                <w:sz w:val="20"/>
                <w:szCs w:val="20"/>
              </w:rPr>
            </w:pPr>
            <w:r w:rsidRPr="00B60374">
              <w:rPr>
                <w:sz w:val="20"/>
                <w:szCs w:val="20"/>
              </w:rPr>
              <w:t>Yes Children</w:t>
            </w:r>
          </w:p>
        </w:tc>
        <w:tc>
          <w:tcPr>
            <w:tcW w:w="2410" w:type="dxa"/>
          </w:tcPr>
          <w:p w:rsidR="00CF5C21" w:rsidRPr="00B60374" w:rsidRDefault="00CF5C21" w:rsidP="00CF5C21">
            <w:pPr>
              <w:jc w:val="center"/>
              <w:rPr>
                <w:sz w:val="20"/>
                <w:szCs w:val="20"/>
              </w:rPr>
            </w:pPr>
            <w:r w:rsidRPr="00B60374">
              <w:rPr>
                <w:sz w:val="20"/>
                <w:szCs w:val="20"/>
              </w:rPr>
              <w:t>No</w:t>
            </w:r>
          </w:p>
        </w:tc>
        <w:tc>
          <w:tcPr>
            <w:tcW w:w="2268" w:type="dxa"/>
          </w:tcPr>
          <w:p w:rsidR="00CF5C21" w:rsidRPr="00B60374" w:rsidRDefault="00CF5C21" w:rsidP="00CF5C21">
            <w:pPr>
              <w:jc w:val="center"/>
              <w:rPr>
                <w:sz w:val="20"/>
                <w:szCs w:val="20"/>
              </w:rPr>
            </w:pPr>
            <w:r w:rsidRPr="00B60374">
              <w:rPr>
                <w:sz w:val="20"/>
                <w:szCs w:val="20"/>
              </w:rPr>
              <w:t>No</w:t>
            </w:r>
          </w:p>
        </w:tc>
        <w:tc>
          <w:tcPr>
            <w:tcW w:w="1701" w:type="dxa"/>
          </w:tcPr>
          <w:p w:rsidR="00CF5C21" w:rsidRPr="00B60374" w:rsidRDefault="00CF5C21" w:rsidP="00CF5C21">
            <w:pPr>
              <w:jc w:val="center"/>
              <w:rPr>
                <w:sz w:val="20"/>
                <w:szCs w:val="20"/>
              </w:rPr>
            </w:pPr>
            <w:r w:rsidRPr="00B60374">
              <w:rPr>
                <w:sz w:val="20"/>
                <w:szCs w:val="20"/>
              </w:rPr>
              <w:t>Yes</w:t>
            </w:r>
          </w:p>
        </w:tc>
        <w:tc>
          <w:tcPr>
            <w:tcW w:w="2126" w:type="dxa"/>
          </w:tcPr>
          <w:p w:rsidR="00CF5C21" w:rsidRPr="00B60374" w:rsidRDefault="00CF5C21" w:rsidP="00CF5C21">
            <w:pPr>
              <w:jc w:val="center"/>
              <w:rPr>
                <w:sz w:val="20"/>
                <w:szCs w:val="20"/>
              </w:rPr>
            </w:pPr>
            <w:r w:rsidRPr="00B60374">
              <w:rPr>
                <w:sz w:val="20"/>
                <w:szCs w:val="20"/>
              </w:rPr>
              <w:t>No</w:t>
            </w:r>
          </w:p>
        </w:tc>
      </w:tr>
      <w:tr w:rsidR="00CF5C21" w:rsidTr="002163B3">
        <w:tc>
          <w:tcPr>
            <w:tcW w:w="1757" w:type="dxa"/>
            <w:shd w:val="clear" w:color="auto" w:fill="9CC2E5" w:themeFill="accent1" w:themeFillTint="99"/>
          </w:tcPr>
          <w:p w:rsidR="00CF5C21" w:rsidRPr="009E2043" w:rsidRDefault="00CF5C21" w:rsidP="00CF5C21">
            <w:pPr>
              <w:rPr>
                <w:sz w:val="22"/>
                <w:szCs w:val="22"/>
              </w:rPr>
            </w:pPr>
            <w:r w:rsidRPr="009E2043">
              <w:rPr>
                <w:sz w:val="22"/>
                <w:szCs w:val="22"/>
              </w:rPr>
              <w:t xml:space="preserve">Solihull </w:t>
            </w:r>
          </w:p>
          <w:p w:rsidR="00CF5C21" w:rsidRPr="009E2043" w:rsidRDefault="00CF5C21" w:rsidP="00CF5C21">
            <w:pPr>
              <w:rPr>
                <w:sz w:val="22"/>
                <w:szCs w:val="22"/>
              </w:rPr>
            </w:pPr>
          </w:p>
        </w:tc>
        <w:tc>
          <w:tcPr>
            <w:tcW w:w="2057" w:type="dxa"/>
          </w:tcPr>
          <w:p w:rsidR="00CF5C21" w:rsidRPr="00B60374" w:rsidRDefault="00CF5C21" w:rsidP="00CF5C21">
            <w:pPr>
              <w:jc w:val="center"/>
              <w:rPr>
                <w:sz w:val="20"/>
                <w:szCs w:val="20"/>
              </w:rPr>
            </w:pPr>
            <w:r w:rsidRPr="00B60374">
              <w:rPr>
                <w:sz w:val="20"/>
                <w:szCs w:val="20"/>
              </w:rPr>
              <w:t>Yes</w:t>
            </w:r>
          </w:p>
          <w:p w:rsidR="00CF5C21" w:rsidRPr="00B60374" w:rsidRDefault="00CF5C21" w:rsidP="00CF5C21">
            <w:pPr>
              <w:jc w:val="center"/>
              <w:rPr>
                <w:sz w:val="20"/>
                <w:szCs w:val="20"/>
              </w:rPr>
            </w:pPr>
            <w:r w:rsidRPr="00B60374">
              <w:rPr>
                <w:sz w:val="20"/>
                <w:szCs w:val="20"/>
              </w:rPr>
              <w:t>Not yet published</w:t>
            </w:r>
          </w:p>
        </w:tc>
        <w:tc>
          <w:tcPr>
            <w:tcW w:w="2058" w:type="dxa"/>
          </w:tcPr>
          <w:p w:rsidR="00CF5C21" w:rsidRPr="00B60374" w:rsidRDefault="00CF5C21" w:rsidP="00CF5C21">
            <w:pPr>
              <w:jc w:val="center"/>
              <w:rPr>
                <w:sz w:val="20"/>
                <w:szCs w:val="20"/>
              </w:rPr>
            </w:pPr>
            <w:r w:rsidRPr="00B60374">
              <w:rPr>
                <w:sz w:val="20"/>
                <w:szCs w:val="20"/>
              </w:rPr>
              <w:t>Yes</w:t>
            </w:r>
          </w:p>
          <w:p w:rsidR="00CF5C21" w:rsidRPr="00B60374" w:rsidRDefault="00CF5C21" w:rsidP="00CF5C21">
            <w:pPr>
              <w:jc w:val="center"/>
              <w:rPr>
                <w:sz w:val="20"/>
                <w:szCs w:val="20"/>
              </w:rPr>
            </w:pPr>
            <w:r w:rsidRPr="00B60374">
              <w:rPr>
                <w:sz w:val="20"/>
                <w:szCs w:val="20"/>
              </w:rPr>
              <w:t>Separate adult &amp; children ones</w:t>
            </w:r>
          </w:p>
        </w:tc>
        <w:tc>
          <w:tcPr>
            <w:tcW w:w="1783" w:type="dxa"/>
          </w:tcPr>
          <w:p w:rsidR="00CF5C21" w:rsidRPr="00B60374" w:rsidRDefault="00CF5C21" w:rsidP="00CF5C21">
            <w:pPr>
              <w:jc w:val="center"/>
              <w:rPr>
                <w:sz w:val="20"/>
                <w:szCs w:val="20"/>
              </w:rPr>
            </w:pPr>
            <w:r w:rsidRPr="00B60374">
              <w:rPr>
                <w:sz w:val="20"/>
                <w:szCs w:val="20"/>
              </w:rPr>
              <w:t>No</w:t>
            </w:r>
          </w:p>
        </w:tc>
        <w:tc>
          <w:tcPr>
            <w:tcW w:w="2410" w:type="dxa"/>
          </w:tcPr>
          <w:p w:rsidR="00CF5C21" w:rsidRPr="00B60374" w:rsidRDefault="00CF5C21" w:rsidP="00CF5C21">
            <w:pPr>
              <w:jc w:val="center"/>
              <w:rPr>
                <w:sz w:val="20"/>
                <w:szCs w:val="20"/>
              </w:rPr>
            </w:pPr>
            <w:r w:rsidRPr="00B60374">
              <w:rPr>
                <w:sz w:val="20"/>
                <w:szCs w:val="20"/>
              </w:rPr>
              <w:t>Yes</w:t>
            </w:r>
          </w:p>
          <w:p w:rsidR="00CF5C21" w:rsidRPr="00B60374" w:rsidRDefault="00CF5C21" w:rsidP="00CF5C21">
            <w:pPr>
              <w:jc w:val="center"/>
              <w:rPr>
                <w:sz w:val="20"/>
                <w:szCs w:val="20"/>
              </w:rPr>
            </w:pPr>
            <w:r w:rsidRPr="00B60374">
              <w:rPr>
                <w:sz w:val="20"/>
                <w:szCs w:val="20"/>
              </w:rPr>
              <w:t>Draft</w:t>
            </w:r>
          </w:p>
        </w:tc>
        <w:tc>
          <w:tcPr>
            <w:tcW w:w="2268" w:type="dxa"/>
          </w:tcPr>
          <w:p w:rsidR="00F610D2" w:rsidRDefault="00CF5C21" w:rsidP="00F610D2">
            <w:pPr>
              <w:jc w:val="center"/>
              <w:rPr>
                <w:sz w:val="20"/>
                <w:szCs w:val="20"/>
              </w:rPr>
            </w:pPr>
            <w:r w:rsidRPr="00B60374">
              <w:rPr>
                <w:sz w:val="20"/>
                <w:szCs w:val="20"/>
              </w:rPr>
              <w:t>Capability Framework &amp;</w:t>
            </w:r>
            <w:r w:rsidR="00F610D2">
              <w:rPr>
                <w:sz w:val="20"/>
                <w:szCs w:val="20"/>
              </w:rPr>
              <w:t xml:space="preserve"> </w:t>
            </w:r>
          </w:p>
          <w:p w:rsidR="00CF5C21" w:rsidRPr="00B60374" w:rsidRDefault="00CF5C21" w:rsidP="00F610D2">
            <w:pPr>
              <w:jc w:val="center"/>
              <w:rPr>
                <w:sz w:val="20"/>
                <w:szCs w:val="20"/>
              </w:rPr>
            </w:pPr>
            <w:r w:rsidRPr="00B60374">
              <w:rPr>
                <w:sz w:val="20"/>
                <w:szCs w:val="20"/>
              </w:rPr>
              <w:t>Language Matters</w:t>
            </w:r>
          </w:p>
        </w:tc>
        <w:tc>
          <w:tcPr>
            <w:tcW w:w="1701" w:type="dxa"/>
          </w:tcPr>
          <w:p w:rsidR="00CF5C21" w:rsidRPr="00B60374" w:rsidRDefault="00CF5C21" w:rsidP="00CF5C21">
            <w:pPr>
              <w:jc w:val="center"/>
              <w:rPr>
                <w:sz w:val="20"/>
                <w:szCs w:val="20"/>
              </w:rPr>
            </w:pPr>
            <w:r w:rsidRPr="00B60374">
              <w:rPr>
                <w:sz w:val="20"/>
                <w:szCs w:val="20"/>
              </w:rPr>
              <w:t>Yes</w:t>
            </w:r>
          </w:p>
        </w:tc>
        <w:tc>
          <w:tcPr>
            <w:tcW w:w="2126" w:type="dxa"/>
          </w:tcPr>
          <w:p w:rsidR="00CF5C21" w:rsidRPr="00B60374" w:rsidRDefault="00CF5C21" w:rsidP="00CF5C21">
            <w:pPr>
              <w:jc w:val="center"/>
              <w:rPr>
                <w:sz w:val="20"/>
                <w:szCs w:val="20"/>
              </w:rPr>
            </w:pPr>
            <w:r w:rsidRPr="00B60374">
              <w:rPr>
                <w:sz w:val="20"/>
                <w:szCs w:val="20"/>
              </w:rPr>
              <w:t>No</w:t>
            </w: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Staffordshire</w:t>
            </w:r>
          </w:p>
          <w:p w:rsidR="00E27BEB" w:rsidRPr="009E2043" w:rsidRDefault="00E27BEB" w:rsidP="00E27BEB">
            <w:pPr>
              <w:rPr>
                <w:sz w:val="22"/>
                <w:szCs w:val="22"/>
              </w:rPr>
            </w:pPr>
          </w:p>
        </w:tc>
        <w:tc>
          <w:tcPr>
            <w:tcW w:w="2057" w:type="dxa"/>
          </w:tcPr>
          <w:p w:rsidR="00E27BEB" w:rsidRPr="00B60374" w:rsidRDefault="00E27BEB" w:rsidP="00E27BEB">
            <w:pPr>
              <w:jc w:val="center"/>
              <w:rPr>
                <w:sz w:val="20"/>
                <w:szCs w:val="20"/>
              </w:rPr>
            </w:pPr>
            <w:r w:rsidRPr="00B60374">
              <w:rPr>
                <w:sz w:val="20"/>
                <w:szCs w:val="20"/>
              </w:rPr>
              <w:t>No</w:t>
            </w:r>
          </w:p>
        </w:tc>
        <w:tc>
          <w:tcPr>
            <w:tcW w:w="2058" w:type="dxa"/>
          </w:tcPr>
          <w:p w:rsidR="00E27BEB" w:rsidRPr="00B60374" w:rsidRDefault="00E27BEB" w:rsidP="00E27BEB">
            <w:pPr>
              <w:jc w:val="center"/>
              <w:rPr>
                <w:sz w:val="20"/>
                <w:szCs w:val="20"/>
              </w:rPr>
            </w:pPr>
            <w:r w:rsidRPr="00B60374">
              <w:rPr>
                <w:sz w:val="20"/>
                <w:szCs w:val="20"/>
              </w:rPr>
              <w:t>No</w:t>
            </w:r>
          </w:p>
        </w:tc>
        <w:tc>
          <w:tcPr>
            <w:tcW w:w="1783" w:type="dxa"/>
          </w:tcPr>
          <w:p w:rsidR="00E27BEB" w:rsidRPr="00B60374" w:rsidRDefault="00E27BEB" w:rsidP="00E27BEB">
            <w:pPr>
              <w:jc w:val="center"/>
              <w:rPr>
                <w:sz w:val="20"/>
                <w:szCs w:val="20"/>
              </w:rPr>
            </w:pPr>
            <w:r w:rsidRPr="00B60374">
              <w:rPr>
                <w:sz w:val="20"/>
                <w:szCs w:val="20"/>
              </w:rPr>
              <w:t>No</w:t>
            </w:r>
          </w:p>
        </w:tc>
        <w:tc>
          <w:tcPr>
            <w:tcW w:w="2410" w:type="dxa"/>
          </w:tcPr>
          <w:p w:rsidR="00E27BEB" w:rsidRPr="00B60374" w:rsidRDefault="00E27BEB" w:rsidP="00E27BEB">
            <w:pPr>
              <w:jc w:val="center"/>
              <w:rPr>
                <w:sz w:val="20"/>
                <w:szCs w:val="20"/>
              </w:rPr>
            </w:pPr>
            <w:r w:rsidRPr="00B60374">
              <w:rPr>
                <w:sz w:val="20"/>
                <w:szCs w:val="20"/>
              </w:rPr>
              <w:t>No</w:t>
            </w:r>
          </w:p>
        </w:tc>
        <w:tc>
          <w:tcPr>
            <w:tcW w:w="2268" w:type="dxa"/>
          </w:tcPr>
          <w:p w:rsidR="00E27BEB" w:rsidRPr="00B60374" w:rsidRDefault="00E27BEB" w:rsidP="00E27BEB">
            <w:pPr>
              <w:jc w:val="center"/>
              <w:rPr>
                <w:sz w:val="20"/>
                <w:szCs w:val="20"/>
              </w:rPr>
            </w:pPr>
            <w:r w:rsidRPr="00B60374">
              <w:rPr>
                <w:sz w:val="20"/>
                <w:szCs w:val="20"/>
              </w:rPr>
              <w:t>No</w:t>
            </w:r>
          </w:p>
        </w:tc>
        <w:tc>
          <w:tcPr>
            <w:tcW w:w="1701" w:type="dxa"/>
          </w:tcPr>
          <w:p w:rsidR="00E27BEB" w:rsidRPr="00B60374" w:rsidRDefault="00E27BEB" w:rsidP="00E27BEB">
            <w:pPr>
              <w:jc w:val="center"/>
              <w:rPr>
                <w:sz w:val="20"/>
                <w:szCs w:val="20"/>
              </w:rPr>
            </w:pPr>
            <w:r w:rsidRPr="00B60374">
              <w:rPr>
                <w:sz w:val="20"/>
                <w:szCs w:val="20"/>
              </w:rPr>
              <w:t>No</w:t>
            </w:r>
          </w:p>
        </w:tc>
        <w:tc>
          <w:tcPr>
            <w:tcW w:w="2126" w:type="dxa"/>
          </w:tcPr>
          <w:p w:rsidR="00E27BEB" w:rsidRPr="00B60374" w:rsidRDefault="00E27BEB" w:rsidP="00E27BEB">
            <w:pPr>
              <w:jc w:val="center"/>
              <w:rPr>
                <w:sz w:val="20"/>
                <w:szCs w:val="20"/>
              </w:rPr>
            </w:pPr>
            <w:r w:rsidRPr="00B60374">
              <w:rPr>
                <w:sz w:val="20"/>
                <w:szCs w:val="20"/>
              </w:rPr>
              <w:t>No</w:t>
            </w: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Stoke</w:t>
            </w:r>
          </w:p>
          <w:p w:rsidR="00E27BEB" w:rsidRPr="009E2043" w:rsidRDefault="00E27BEB" w:rsidP="00E27BEB">
            <w:pPr>
              <w:rPr>
                <w:sz w:val="22"/>
                <w:szCs w:val="22"/>
              </w:rPr>
            </w:pPr>
          </w:p>
        </w:tc>
        <w:tc>
          <w:tcPr>
            <w:tcW w:w="2057" w:type="dxa"/>
          </w:tcPr>
          <w:p w:rsidR="00E27BEB" w:rsidRPr="00B60374" w:rsidRDefault="00E27BEB" w:rsidP="00E27BEB">
            <w:pPr>
              <w:jc w:val="center"/>
              <w:rPr>
                <w:sz w:val="20"/>
                <w:szCs w:val="20"/>
              </w:rPr>
            </w:pPr>
          </w:p>
        </w:tc>
        <w:tc>
          <w:tcPr>
            <w:tcW w:w="2058" w:type="dxa"/>
          </w:tcPr>
          <w:p w:rsidR="00E27BEB" w:rsidRPr="00B60374" w:rsidRDefault="00E27BEB" w:rsidP="00E27BEB">
            <w:pPr>
              <w:jc w:val="center"/>
              <w:rPr>
                <w:sz w:val="20"/>
                <w:szCs w:val="20"/>
              </w:rPr>
            </w:pPr>
          </w:p>
        </w:tc>
        <w:tc>
          <w:tcPr>
            <w:tcW w:w="1783" w:type="dxa"/>
          </w:tcPr>
          <w:p w:rsidR="00E27BEB" w:rsidRPr="00B60374" w:rsidRDefault="00E27BEB" w:rsidP="00E27BEB">
            <w:pPr>
              <w:jc w:val="center"/>
              <w:rPr>
                <w:sz w:val="20"/>
                <w:szCs w:val="20"/>
              </w:rPr>
            </w:pPr>
          </w:p>
        </w:tc>
        <w:tc>
          <w:tcPr>
            <w:tcW w:w="2410" w:type="dxa"/>
          </w:tcPr>
          <w:p w:rsidR="00E27BEB" w:rsidRPr="00B60374" w:rsidRDefault="00E27BEB" w:rsidP="00E27BEB">
            <w:pPr>
              <w:jc w:val="center"/>
              <w:rPr>
                <w:sz w:val="20"/>
                <w:szCs w:val="20"/>
              </w:rPr>
            </w:pPr>
          </w:p>
        </w:tc>
        <w:tc>
          <w:tcPr>
            <w:tcW w:w="2268" w:type="dxa"/>
          </w:tcPr>
          <w:p w:rsidR="00E27BEB" w:rsidRPr="00B60374" w:rsidRDefault="00E27BEB" w:rsidP="00E27BEB">
            <w:pPr>
              <w:jc w:val="center"/>
              <w:rPr>
                <w:sz w:val="20"/>
                <w:szCs w:val="20"/>
              </w:rPr>
            </w:pPr>
          </w:p>
        </w:tc>
        <w:tc>
          <w:tcPr>
            <w:tcW w:w="1701" w:type="dxa"/>
          </w:tcPr>
          <w:p w:rsidR="00E27BEB" w:rsidRPr="00B60374" w:rsidRDefault="00E27BEB" w:rsidP="00E27BEB">
            <w:pPr>
              <w:jc w:val="center"/>
              <w:rPr>
                <w:sz w:val="20"/>
                <w:szCs w:val="20"/>
              </w:rPr>
            </w:pPr>
          </w:p>
        </w:tc>
        <w:tc>
          <w:tcPr>
            <w:tcW w:w="2126" w:type="dxa"/>
          </w:tcPr>
          <w:p w:rsidR="00E27BEB" w:rsidRPr="00B60374" w:rsidRDefault="00E27BEB" w:rsidP="00E27BEB">
            <w:pPr>
              <w:jc w:val="center"/>
              <w:rPr>
                <w:sz w:val="20"/>
                <w:szCs w:val="20"/>
              </w:rPr>
            </w:pP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 xml:space="preserve">Telford </w:t>
            </w:r>
            <w:r>
              <w:rPr>
                <w:sz w:val="22"/>
                <w:szCs w:val="22"/>
              </w:rPr>
              <w:t>&amp;</w:t>
            </w:r>
            <w:r w:rsidRPr="009E2043">
              <w:rPr>
                <w:sz w:val="22"/>
                <w:szCs w:val="22"/>
              </w:rPr>
              <w:t xml:space="preserve"> Wrekin</w:t>
            </w:r>
          </w:p>
        </w:tc>
        <w:tc>
          <w:tcPr>
            <w:tcW w:w="2057" w:type="dxa"/>
          </w:tcPr>
          <w:p w:rsidR="00E27BEB" w:rsidRPr="00130F4E" w:rsidRDefault="00E27BEB" w:rsidP="00E27BEB">
            <w:pPr>
              <w:jc w:val="center"/>
              <w:rPr>
                <w:sz w:val="20"/>
                <w:szCs w:val="20"/>
              </w:rPr>
            </w:pPr>
            <w:r>
              <w:rPr>
                <w:sz w:val="20"/>
                <w:szCs w:val="20"/>
              </w:rPr>
              <w:t>No</w:t>
            </w:r>
          </w:p>
        </w:tc>
        <w:tc>
          <w:tcPr>
            <w:tcW w:w="2058" w:type="dxa"/>
          </w:tcPr>
          <w:p w:rsidR="00E27BEB" w:rsidRPr="00130F4E" w:rsidRDefault="00E27BEB" w:rsidP="00E27BEB">
            <w:pPr>
              <w:jc w:val="center"/>
              <w:rPr>
                <w:sz w:val="20"/>
                <w:szCs w:val="20"/>
              </w:rPr>
            </w:pPr>
            <w:r>
              <w:rPr>
                <w:sz w:val="20"/>
                <w:szCs w:val="20"/>
              </w:rPr>
              <w:t>Yes</w:t>
            </w:r>
          </w:p>
        </w:tc>
        <w:tc>
          <w:tcPr>
            <w:tcW w:w="1783" w:type="dxa"/>
          </w:tcPr>
          <w:p w:rsidR="00E27BEB" w:rsidRPr="00130F4E" w:rsidRDefault="00E27BEB" w:rsidP="00E27BEB">
            <w:pPr>
              <w:jc w:val="center"/>
              <w:rPr>
                <w:sz w:val="20"/>
                <w:szCs w:val="20"/>
              </w:rPr>
            </w:pPr>
            <w:r>
              <w:rPr>
                <w:sz w:val="20"/>
                <w:szCs w:val="20"/>
              </w:rPr>
              <w:t>No</w:t>
            </w:r>
          </w:p>
        </w:tc>
        <w:tc>
          <w:tcPr>
            <w:tcW w:w="2410" w:type="dxa"/>
          </w:tcPr>
          <w:p w:rsidR="00E27BEB" w:rsidRPr="00130F4E" w:rsidRDefault="00E27BEB" w:rsidP="00E27BEB">
            <w:pPr>
              <w:jc w:val="center"/>
              <w:rPr>
                <w:sz w:val="20"/>
                <w:szCs w:val="20"/>
              </w:rPr>
            </w:pPr>
            <w:r>
              <w:rPr>
                <w:sz w:val="20"/>
                <w:szCs w:val="20"/>
              </w:rPr>
              <w:t xml:space="preserve">Yes </w:t>
            </w:r>
            <w:r w:rsidRPr="00E97373">
              <w:rPr>
                <w:sz w:val="20"/>
                <w:szCs w:val="20"/>
              </w:rPr>
              <w:t xml:space="preserve">- </w:t>
            </w:r>
            <w:r>
              <w:rPr>
                <w:sz w:val="20"/>
                <w:szCs w:val="20"/>
              </w:rPr>
              <w:t>It</w:t>
            </w:r>
            <w:r w:rsidRPr="00E97373">
              <w:rPr>
                <w:sz w:val="20"/>
                <w:szCs w:val="20"/>
              </w:rPr>
              <w:t xml:space="preserve"> is part of the safeguarding pathway.</w:t>
            </w:r>
          </w:p>
        </w:tc>
        <w:tc>
          <w:tcPr>
            <w:tcW w:w="2268" w:type="dxa"/>
          </w:tcPr>
          <w:p w:rsidR="00E27BEB" w:rsidRPr="00130F4E" w:rsidRDefault="00E27BEB" w:rsidP="00E27BEB">
            <w:pPr>
              <w:jc w:val="center"/>
              <w:rPr>
                <w:sz w:val="20"/>
                <w:szCs w:val="20"/>
              </w:rPr>
            </w:pPr>
          </w:p>
        </w:tc>
        <w:tc>
          <w:tcPr>
            <w:tcW w:w="1701" w:type="dxa"/>
          </w:tcPr>
          <w:p w:rsidR="00E27BEB" w:rsidRPr="00130F4E" w:rsidRDefault="00E27BEB" w:rsidP="00E27BEB">
            <w:pPr>
              <w:jc w:val="center"/>
              <w:rPr>
                <w:sz w:val="20"/>
                <w:szCs w:val="20"/>
              </w:rPr>
            </w:pPr>
            <w:r>
              <w:rPr>
                <w:sz w:val="20"/>
                <w:szCs w:val="20"/>
              </w:rPr>
              <w:t>Yes</w:t>
            </w:r>
          </w:p>
        </w:tc>
        <w:tc>
          <w:tcPr>
            <w:tcW w:w="2126" w:type="dxa"/>
          </w:tcPr>
          <w:p w:rsidR="00E27BEB" w:rsidRPr="00130F4E" w:rsidRDefault="00E27BEB" w:rsidP="00E27BEB">
            <w:pPr>
              <w:jc w:val="center"/>
              <w:rPr>
                <w:sz w:val="20"/>
                <w:szCs w:val="20"/>
              </w:rPr>
            </w:pPr>
            <w:r>
              <w:rPr>
                <w:sz w:val="20"/>
                <w:szCs w:val="20"/>
              </w:rPr>
              <w:t>No</w:t>
            </w: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Walsall</w:t>
            </w:r>
          </w:p>
          <w:p w:rsidR="00E27BEB" w:rsidRPr="009E2043" w:rsidRDefault="00E27BEB" w:rsidP="00E27BEB">
            <w:pPr>
              <w:rPr>
                <w:sz w:val="22"/>
                <w:szCs w:val="22"/>
              </w:rPr>
            </w:pPr>
          </w:p>
        </w:tc>
        <w:tc>
          <w:tcPr>
            <w:tcW w:w="2057" w:type="dxa"/>
          </w:tcPr>
          <w:p w:rsidR="00E27BEB" w:rsidRPr="00B60374" w:rsidRDefault="00E27BEB" w:rsidP="00E27BEB">
            <w:pPr>
              <w:jc w:val="center"/>
              <w:rPr>
                <w:sz w:val="20"/>
                <w:szCs w:val="20"/>
              </w:rPr>
            </w:pPr>
            <w:r w:rsidRPr="00B60374">
              <w:rPr>
                <w:sz w:val="20"/>
                <w:szCs w:val="20"/>
              </w:rPr>
              <w:t>In development</w:t>
            </w:r>
          </w:p>
        </w:tc>
        <w:tc>
          <w:tcPr>
            <w:tcW w:w="2058" w:type="dxa"/>
          </w:tcPr>
          <w:p w:rsidR="00E27BEB" w:rsidRPr="00B60374" w:rsidRDefault="00E27BEB" w:rsidP="00E27BEB">
            <w:pPr>
              <w:jc w:val="center"/>
              <w:rPr>
                <w:sz w:val="20"/>
                <w:szCs w:val="20"/>
              </w:rPr>
            </w:pPr>
            <w:r w:rsidRPr="00B60374">
              <w:rPr>
                <w:sz w:val="20"/>
                <w:szCs w:val="20"/>
              </w:rPr>
              <w:t>Yes</w:t>
            </w:r>
          </w:p>
        </w:tc>
        <w:tc>
          <w:tcPr>
            <w:tcW w:w="1783" w:type="dxa"/>
          </w:tcPr>
          <w:p w:rsidR="00E27BEB" w:rsidRPr="00B60374" w:rsidRDefault="00E27BEB" w:rsidP="00E27BEB">
            <w:pPr>
              <w:jc w:val="center"/>
              <w:rPr>
                <w:sz w:val="20"/>
                <w:szCs w:val="20"/>
              </w:rPr>
            </w:pPr>
          </w:p>
        </w:tc>
        <w:tc>
          <w:tcPr>
            <w:tcW w:w="2410" w:type="dxa"/>
          </w:tcPr>
          <w:p w:rsidR="00E27BEB" w:rsidRPr="00B60374" w:rsidRDefault="00E27BEB" w:rsidP="00E27BEB">
            <w:pPr>
              <w:jc w:val="center"/>
              <w:rPr>
                <w:sz w:val="20"/>
                <w:szCs w:val="20"/>
              </w:rPr>
            </w:pPr>
            <w:r w:rsidRPr="00B60374">
              <w:rPr>
                <w:sz w:val="20"/>
                <w:szCs w:val="20"/>
              </w:rPr>
              <w:t>Yes</w:t>
            </w:r>
          </w:p>
        </w:tc>
        <w:tc>
          <w:tcPr>
            <w:tcW w:w="2268" w:type="dxa"/>
          </w:tcPr>
          <w:p w:rsidR="00E27BEB" w:rsidRPr="00B60374" w:rsidRDefault="00E27BEB" w:rsidP="00E27BEB">
            <w:pPr>
              <w:jc w:val="center"/>
              <w:rPr>
                <w:sz w:val="20"/>
                <w:szCs w:val="20"/>
              </w:rPr>
            </w:pPr>
          </w:p>
        </w:tc>
        <w:tc>
          <w:tcPr>
            <w:tcW w:w="1701" w:type="dxa"/>
          </w:tcPr>
          <w:p w:rsidR="00E27BEB" w:rsidRPr="00B60374" w:rsidRDefault="00E27BEB" w:rsidP="00E27BEB">
            <w:pPr>
              <w:jc w:val="center"/>
              <w:rPr>
                <w:sz w:val="20"/>
                <w:szCs w:val="20"/>
              </w:rPr>
            </w:pPr>
            <w:r w:rsidRPr="00B60374">
              <w:rPr>
                <w:sz w:val="20"/>
                <w:szCs w:val="20"/>
              </w:rPr>
              <w:t>No</w:t>
            </w:r>
          </w:p>
        </w:tc>
        <w:tc>
          <w:tcPr>
            <w:tcW w:w="2126" w:type="dxa"/>
          </w:tcPr>
          <w:p w:rsidR="00E27BEB" w:rsidRPr="00B60374" w:rsidRDefault="00E27BEB" w:rsidP="00E27BEB">
            <w:pPr>
              <w:jc w:val="center"/>
              <w:rPr>
                <w:sz w:val="20"/>
                <w:szCs w:val="20"/>
              </w:rPr>
            </w:pPr>
            <w:r w:rsidRPr="00B60374">
              <w:rPr>
                <w:sz w:val="20"/>
                <w:szCs w:val="20"/>
              </w:rPr>
              <w:t>Yes</w:t>
            </w: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Warwickshire</w:t>
            </w:r>
          </w:p>
          <w:p w:rsidR="00E27BEB" w:rsidRPr="009E2043" w:rsidRDefault="00E27BEB" w:rsidP="00E27BEB">
            <w:pPr>
              <w:rPr>
                <w:sz w:val="22"/>
                <w:szCs w:val="22"/>
              </w:rPr>
            </w:pPr>
          </w:p>
        </w:tc>
        <w:tc>
          <w:tcPr>
            <w:tcW w:w="2057" w:type="dxa"/>
          </w:tcPr>
          <w:p w:rsidR="00E27BEB" w:rsidRPr="00B60374" w:rsidRDefault="00E27BEB" w:rsidP="00E27BEB">
            <w:pPr>
              <w:jc w:val="center"/>
              <w:rPr>
                <w:sz w:val="20"/>
                <w:szCs w:val="20"/>
              </w:rPr>
            </w:pPr>
            <w:r w:rsidRPr="00F610D2">
              <w:rPr>
                <w:sz w:val="20"/>
                <w:szCs w:val="20"/>
              </w:rPr>
              <w:t>In final stage of development</w:t>
            </w:r>
          </w:p>
        </w:tc>
        <w:tc>
          <w:tcPr>
            <w:tcW w:w="2058" w:type="dxa"/>
          </w:tcPr>
          <w:p w:rsidR="00E27BEB" w:rsidRPr="00B60374" w:rsidRDefault="00E27BEB" w:rsidP="00E27BEB">
            <w:pPr>
              <w:jc w:val="center"/>
              <w:rPr>
                <w:sz w:val="20"/>
                <w:szCs w:val="20"/>
              </w:rPr>
            </w:pPr>
            <w:r>
              <w:rPr>
                <w:sz w:val="20"/>
                <w:szCs w:val="20"/>
              </w:rPr>
              <w:t>No</w:t>
            </w:r>
          </w:p>
        </w:tc>
        <w:tc>
          <w:tcPr>
            <w:tcW w:w="1783" w:type="dxa"/>
          </w:tcPr>
          <w:p w:rsidR="00E27BEB" w:rsidRPr="00B60374" w:rsidRDefault="00E27BEB" w:rsidP="00E27BEB">
            <w:pPr>
              <w:jc w:val="center"/>
              <w:rPr>
                <w:sz w:val="20"/>
                <w:szCs w:val="20"/>
              </w:rPr>
            </w:pPr>
            <w:r>
              <w:rPr>
                <w:sz w:val="20"/>
                <w:szCs w:val="20"/>
              </w:rPr>
              <w:t>No</w:t>
            </w:r>
          </w:p>
        </w:tc>
        <w:tc>
          <w:tcPr>
            <w:tcW w:w="2410" w:type="dxa"/>
          </w:tcPr>
          <w:p w:rsidR="00E27BEB" w:rsidRPr="00B60374" w:rsidRDefault="00E27BEB" w:rsidP="00E27BEB">
            <w:pPr>
              <w:jc w:val="center"/>
              <w:rPr>
                <w:sz w:val="20"/>
                <w:szCs w:val="20"/>
              </w:rPr>
            </w:pPr>
            <w:r>
              <w:rPr>
                <w:sz w:val="20"/>
                <w:szCs w:val="20"/>
              </w:rPr>
              <w:t>No</w:t>
            </w:r>
          </w:p>
        </w:tc>
        <w:tc>
          <w:tcPr>
            <w:tcW w:w="2268" w:type="dxa"/>
          </w:tcPr>
          <w:p w:rsidR="00E27BEB" w:rsidRPr="00B60374" w:rsidRDefault="00E27BEB" w:rsidP="00E27BEB">
            <w:pPr>
              <w:jc w:val="center"/>
              <w:rPr>
                <w:sz w:val="20"/>
                <w:szCs w:val="20"/>
              </w:rPr>
            </w:pPr>
            <w:r>
              <w:rPr>
                <w:sz w:val="20"/>
                <w:szCs w:val="20"/>
              </w:rPr>
              <w:t>No</w:t>
            </w:r>
          </w:p>
        </w:tc>
        <w:tc>
          <w:tcPr>
            <w:tcW w:w="1701" w:type="dxa"/>
          </w:tcPr>
          <w:p w:rsidR="00E27BEB" w:rsidRPr="00B60374" w:rsidRDefault="00E27BEB" w:rsidP="00E27BEB">
            <w:pPr>
              <w:jc w:val="center"/>
              <w:rPr>
                <w:sz w:val="20"/>
                <w:szCs w:val="20"/>
              </w:rPr>
            </w:pPr>
            <w:r>
              <w:rPr>
                <w:sz w:val="20"/>
                <w:szCs w:val="20"/>
              </w:rPr>
              <w:t>Yes</w:t>
            </w:r>
          </w:p>
        </w:tc>
        <w:tc>
          <w:tcPr>
            <w:tcW w:w="2126" w:type="dxa"/>
          </w:tcPr>
          <w:p w:rsidR="00E27BEB" w:rsidRPr="00B60374" w:rsidRDefault="00E27BEB" w:rsidP="00E27BEB">
            <w:pPr>
              <w:jc w:val="center"/>
              <w:rPr>
                <w:sz w:val="20"/>
                <w:szCs w:val="20"/>
              </w:rPr>
            </w:pPr>
            <w:r>
              <w:rPr>
                <w:sz w:val="20"/>
                <w:szCs w:val="20"/>
              </w:rPr>
              <w:t>No – Children only</w:t>
            </w:r>
          </w:p>
        </w:tc>
      </w:tr>
      <w:tr w:rsidR="00E27BEB" w:rsidTr="002163B3">
        <w:tc>
          <w:tcPr>
            <w:tcW w:w="1757" w:type="dxa"/>
            <w:shd w:val="clear" w:color="auto" w:fill="9CC2E5" w:themeFill="accent1" w:themeFillTint="99"/>
          </w:tcPr>
          <w:p w:rsidR="00E27BEB" w:rsidRDefault="00E27BEB" w:rsidP="00E27BEB">
            <w:pPr>
              <w:rPr>
                <w:sz w:val="22"/>
                <w:szCs w:val="22"/>
              </w:rPr>
            </w:pPr>
            <w:r w:rsidRPr="009E2043">
              <w:rPr>
                <w:sz w:val="22"/>
                <w:szCs w:val="22"/>
              </w:rPr>
              <w:t>Worcestershire</w:t>
            </w:r>
          </w:p>
          <w:p w:rsidR="00E27BEB" w:rsidRPr="003605D6" w:rsidRDefault="00E27BEB" w:rsidP="00E27BEB">
            <w:pPr>
              <w:rPr>
                <w:sz w:val="18"/>
                <w:szCs w:val="18"/>
              </w:rPr>
            </w:pPr>
            <w:r w:rsidRPr="003605D6">
              <w:rPr>
                <w:sz w:val="18"/>
                <w:szCs w:val="18"/>
              </w:rPr>
              <w:t>(</w:t>
            </w:r>
            <w:r>
              <w:rPr>
                <w:sz w:val="18"/>
                <w:szCs w:val="18"/>
              </w:rPr>
              <w:t>R</w:t>
            </w:r>
            <w:r w:rsidRPr="003605D6">
              <w:rPr>
                <w:sz w:val="18"/>
                <w:szCs w:val="18"/>
              </w:rPr>
              <w:t>esearch project with University)</w:t>
            </w:r>
          </w:p>
        </w:tc>
        <w:tc>
          <w:tcPr>
            <w:tcW w:w="2057" w:type="dxa"/>
          </w:tcPr>
          <w:p w:rsidR="00E27BEB" w:rsidRPr="00B60374" w:rsidRDefault="00E27BEB" w:rsidP="00E27BEB">
            <w:pPr>
              <w:jc w:val="center"/>
              <w:rPr>
                <w:sz w:val="20"/>
                <w:szCs w:val="20"/>
              </w:rPr>
            </w:pPr>
            <w:r w:rsidRPr="00B60374">
              <w:rPr>
                <w:sz w:val="20"/>
                <w:szCs w:val="20"/>
              </w:rPr>
              <w:t>Yes</w:t>
            </w:r>
          </w:p>
        </w:tc>
        <w:tc>
          <w:tcPr>
            <w:tcW w:w="2058" w:type="dxa"/>
          </w:tcPr>
          <w:p w:rsidR="00E27BEB" w:rsidRPr="00B60374" w:rsidRDefault="00E27BEB" w:rsidP="00E27BEB">
            <w:pPr>
              <w:jc w:val="center"/>
              <w:rPr>
                <w:sz w:val="20"/>
                <w:szCs w:val="20"/>
              </w:rPr>
            </w:pPr>
            <w:r w:rsidRPr="00B60374">
              <w:rPr>
                <w:sz w:val="20"/>
                <w:szCs w:val="20"/>
              </w:rPr>
              <w:t>No</w:t>
            </w:r>
          </w:p>
        </w:tc>
        <w:tc>
          <w:tcPr>
            <w:tcW w:w="1783" w:type="dxa"/>
          </w:tcPr>
          <w:p w:rsidR="00E27BEB" w:rsidRPr="00B60374" w:rsidRDefault="00E27BEB" w:rsidP="00E27BEB">
            <w:pPr>
              <w:jc w:val="center"/>
              <w:rPr>
                <w:sz w:val="20"/>
                <w:szCs w:val="20"/>
              </w:rPr>
            </w:pPr>
            <w:r w:rsidRPr="00B60374">
              <w:rPr>
                <w:sz w:val="20"/>
                <w:szCs w:val="20"/>
              </w:rPr>
              <w:t>No</w:t>
            </w:r>
          </w:p>
        </w:tc>
        <w:tc>
          <w:tcPr>
            <w:tcW w:w="2410" w:type="dxa"/>
          </w:tcPr>
          <w:p w:rsidR="00E27BEB" w:rsidRPr="00B60374" w:rsidRDefault="00E27BEB" w:rsidP="00E27BEB">
            <w:pPr>
              <w:jc w:val="center"/>
              <w:rPr>
                <w:sz w:val="20"/>
                <w:szCs w:val="20"/>
              </w:rPr>
            </w:pPr>
            <w:r w:rsidRPr="00B60374">
              <w:rPr>
                <w:sz w:val="20"/>
                <w:szCs w:val="20"/>
              </w:rPr>
              <w:t>In development</w:t>
            </w:r>
          </w:p>
        </w:tc>
        <w:tc>
          <w:tcPr>
            <w:tcW w:w="2268" w:type="dxa"/>
          </w:tcPr>
          <w:p w:rsidR="00E27BEB" w:rsidRPr="00B60374" w:rsidRDefault="00E27BEB" w:rsidP="00E27BEB">
            <w:pPr>
              <w:jc w:val="center"/>
              <w:rPr>
                <w:sz w:val="20"/>
                <w:szCs w:val="20"/>
              </w:rPr>
            </w:pPr>
          </w:p>
          <w:p w:rsidR="00E27BEB" w:rsidRPr="00B60374" w:rsidRDefault="00E27BEB" w:rsidP="00E27BEB">
            <w:pPr>
              <w:jc w:val="center"/>
              <w:rPr>
                <w:sz w:val="20"/>
                <w:szCs w:val="20"/>
              </w:rPr>
            </w:pPr>
          </w:p>
        </w:tc>
        <w:tc>
          <w:tcPr>
            <w:tcW w:w="1701" w:type="dxa"/>
          </w:tcPr>
          <w:p w:rsidR="00E27BEB" w:rsidRPr="00B60374" w:rsidRDefault="00E27BEB" w:rsidP="00E27BEB">
            <w:pPr>
              <w:jc w:val="center"/>
              <w:rPr>
                <w:sz w:val="20"/>
                <w:szCs w:val="20"/>
              </w:rPr>
            </w:pPr>
            <w:r w:rsidRPr="00B60374">
              <w:rPr>
                <w:sz w:val="20"/>
                <w:szCs w:val="20"/>
              </w:rPr>
              <w:t>Yes</w:t>
            </w:r>
          </w:p>
        </w:tc>
        <w:tc>
          <w:tcPr>
            <w:tcW w:w="2126" w:type="dxa"/>
          </w:tcPr>
          <w:p w:rsidR="00E27BEB" w:rsidRPr="00B60374" w:rsidRDefault="00E27BEB" w:rsidP="00E27BEB">
            <w:pPr>
              <w:jc w:val="center"/>
              <w:rPr>
                <w:sz w:val="20"/>
                <w:szCs w:val="20"/>
              </w:rPr>
            </w:pPr>
            <w:r w:rsidRPr="00B60374">
              <w:rPr>
                <w:sz w:val="20"/>
                <w:szCs w:val="20"/>
              </w:rPr>
              <w:t>No</w:t>
            </w:r>
          </w:p>
        </w:tc>
      </w:tr>
      <w:tr w:rsidR="00E27BEB" w:rsidTr="002163B3">
        <w:tc>
          <w:tcPr>
            <w:tcW w:w="1757" w:type="dxa"/>
            <w:shd w:val="clear" w:color="auto" w:fill="9CC2E5" w:themeFill="accent1" w:themeFillTint="99"/>
          </w:tcPr>
          <w:p w:rsidR="00E27BEB" w:rsidRPr="009E2043" w:rsidRDefault="00E27BEB" w:rsidP="00E27BEB">
            <w:pPr>
              <w:rPr>
                <w:sz w:val="22"/>
                <w:szCs w:val="22"/>
              </w:rPr>
            </w:pPr>
            <w:r w:rsidRPr="009E2043">
              <w:rPr>
                <w:sz w:val="22"/>
                <w:szCs w:val="22"/>
              </w:rPr>
              <w:t>Wolverhampton</w:t>
            </w:r>
          </w:p>
          <w:p w:rsidR="00E27BEB" w:rsidRPr="009E2043" w:rsidRDefault="00E27BEB" w:rsidP="00E27BEB">
            <w:pPr>
              <w:rPr>
                <w:sz w:val="22"/>
                <w:szCs w:val="22"/>
              </w:rPr>
            </w:pPr>
          </w:p>
        </w:tc>
        <w:tc>
          <w:tcPr>
            <w:tcW w:w="2057" w:type="dxa"/>
          </w:tcPr>
          <w:p w:rsidR="00E27BEB" w:rsidRPr="00B60374" w:rsidRDefault="00E27BEB" w:rsidP="00E27BEB">
            <w:pPr>
              <w:jc w:val="center"/>
              <w:rPr>
                <w:sz w:val="20"/>
                <w:szCs w:val="20"/>
              </w:rPr>
            </w:pPr>
            <w:proofErr w:type="gramStart"/>
            <w:r>
              <w:rPr>
                <w:sz w:val="20"/>
                <w:szCs w:val="20"/>
              </w:rPr>
              <w:t>Yes</w:t>
            </w:r>
            <w:proofErr w:type="gramEnd"/>
            <w:r>
              <w:rPr>
                <w:sz w:val="20"/>
                <w:szCs w:val="20"/>
              </w:rPr>
              <w:t xml:space="preserve"> </w:t>
            </w:r>
            <w:r w:rsidRPr="00CF5C21">
              <w:rPr>
                <w:sz w:val="20"/>
                <w:szCs w:val="20"/>
              </w:rPr>
              <w:t>Serious Violence and exploitation strategy</w:t>
            </w:r>
          </w:p>
        </w:tc>
        <w:tc>
          <w:tcPr>
            <w:tcW w:w="2058" w:type="dxa"/>
          </w:tcPr>
          <w:p w:rsidR="00E27BEB" w:rsidRPr="00B60374" w:rsidRDefault="00E27BEB" w:rsidP="00E27BEB">
            <w:pPr>
              <w:jc w:val="center"/>
              <w:rPr>
                <w:sz w:val="20"/>
                <w:szCs w:val="20"/>
              </w:rPr>
            </w:pPr>
            <w:r>
              <w:rPr>
                <w:sz w:val="20"/>
                <w:szCs w:val="20"/>
              </w:rPr>
              <w:t>Joint</w:t>
            </w:r>
            <w:r w:rsidRPr="00B60374">
              <w:rPr>
                <w:sz w:val="20"/>
                <w:szCs w:val="20"/>
              </w:rPr>
              <w:t xml:space="preserve"> Children</w:t>
            </w:r>
            <w:r>
              <w:rPr>
                <w:sz w:val="20"/>
                <w:szCs w:val="20"/>
              </w:rPr>
              <w:t xml:space="preserve"> &amp;</w:t>
            </w:r>
          </w:p>
          <w:p w:rsidR="00E27BEB" w:rsidRPr="00B60374" w:rsidRDefault="00E27BEB" w:rsidP="00E27BEB">
            <w:pPr>
              <w:jc w:val="center"/>
              <w:rPr>
                <w:sz w:val="20"/>
                <w:szCs w:val="20"/>
              </w:rPr>
            </w:pPr>
            <w:r w:rsidRPr="00B60374">
              <w:rPr>
                <w:sz w:val="20"/>
                <w:szCs w:val="20"/>
              </w:rPr>
              <w:t>Adults in development</w:t>
            </w:r>
          </w:p>
        </w:tc>
        <w:tc>
          <w:tcPr>
            <w:tcW w:w="1783" w:type="dxa"/>
          </w:tcPr>
          <w:p w:rsidR="00E27BEB" w:rsidRPr="00B60374" w:rsidRDefault="00E27BEB" w:rsidP="00E27BEB">
            <w:pPr>
              <w:jc w:val="center"/>
              <w:rPr>
                <w:sz w:val="20"/>
                <w:szCs w:val="20"/>
              </w:rPr>
            </w:pPr>
            <w:r w:rsidRPr="00B60374">
              <w:rPr>
                <w:sz w:val="20"/>
                <w:szCs w:val="20"/>
              </w:rPr>
              <w:t>May be incorporated into screening tool</w:t>
            </w:r>
          </w:p>
        </w:tc>
        <w:tc>
          <w:tcPr>
            <w:tcW w:w="2410" w:type="dxa"/>
          </w:tcPr>
          <w:p w:rsidR="00E27BEB" w:rsidRPr="00B60374" w:rsidRDefault="00E27BEB" w:rsidP="00E27BEB">
            <w:pPr>
              <w:jc w:val="center"/>
              <w:rPr>
                <w:sz w:val="20"/>
                <w:szCs w:val="20"/>
              </w:rPr>
            </w:pPr>
            <w:r>
              <w:rPr>
                <w:sz w:val="20"/>
                <w:szCs w:val="20"/>
              </w:rPr>
              <w:t>In development</w:t>
            </w:r>
          </w:p>
        </w:tc>
        <w:tc>
          <w:tcPr>
            <w:tcW w:w="2268" w:type="dxa"/>
          </w:tcPr>
          <w:p w:rsidR="00E27BEB" w:rsidRPr="00B60374" w:rsidRDefault="00E27BEB" w:rsidP="00E27BEB">
            <w:pPr>
              <w:jc w:val="center"/>
              <w:rPr>
                <w:sz w:val="20"/>
                <w:szCs w:val="20"/>
              </w:rPr>
            </w:pPr>
            <w:r w:rsidRPr="00CF5C21">
              <w:rPr>
                <w:sz w:val="20"/>
                <w:szCs w:val="20"/>
              </w:rPr>
              <w:t>Adults looking to create a directory of exploitation support services available</w:t>
            </w:r>
          </w:p>
        </w:tc>
        <w:tc>
          <w:tcPr>
            <w:tcW w:w="1701" w:type="dxa"/>
          </w:tcPr>
          <w:p w:rsidR="00E27BEB" w:rsidRPr="00B60374" w:rsidRDefault="00E27BEB" w:rsidP="00E27BEB">
            <w:pPr>
              <w:jc w:val="center"/>
              <w:rPr>
                <w:sz w:val="20"/>
                <w:szCs w:val="20"/>
              </w:rPr>
            </w:pPr>
            <w:r w:rsidRPr="00B60374">
              <w:rPr>
                <w:sz w:val="20"/>
                <w:szCs w:val="20"/>
              </w:rPr>
              <w:t>No</w:t>
            </w:r>
          </w:p>
        </w:tc>
        <w:tc>
          <w:tcPr>
            <w:tcW w:w="2126" w:type="dxa"/>
          </w:tcPr>
          <w:p w:rsidR="00E27BEB" w:rsidRPr="00B60374" w:rsidRDefault="00E27BEB" w:rsidP="00E27BEB">
            <w:pPr>
              <w:jc w:val="center"/>
              <w:rPr>
                <w:sz w:val="20"/>
                <w:szCs w:val="20"/>
              </w:rPr>
            </w:pPr>
            <w:r w:rsidRPr="00B60374">
              <w:rPr>
                <w:sz w:val="20"/>
                <w:szCs w:val="20"/>
              </w:rPr>
              <w:t>Setting up an exploitation hub</w:t>
            </w:r>
          </w:p>
        </w:tc>
      </w:tr>
    </w:tbl>
    <w:p w:rsidR="00484DA0" w:rsidRDefault="00484DA0" w:rsidP="005F63B4">
      <w:pPr>
        <w:pStyle w:val="Default"/>
        <w:rPr>
          <w:rFonts w:ascii="Arial" w:hAnsi="Arial" w:cs="Arial"/>
        </w:rPr>
        <w:sectPr w:rsidR="00484DA0" w:rsidSect="00B60374">
          <w:pgSz w:w="16838" w:h="11906" w:orient="landscape"/>
          <w:pgMar w:top="426" w:right="1440" w:bottom="1440" w:left="1440" w:header="709" w:footer="709" w:gutter="0"/>
          <w:cols w:space="708"/>
          <w:docGrid w:linePitch="360"/>
        </w:sectPr>
      </w:pPr>
    </w:p>
    <w:p w:rsidR="00CB23DE" w:rsidRDefault="00484DA0" w:rsidP="00484DA0">
      <w:pPr>
        <w:pStyle w:val="Default"/>
        <w:ind w:left="1134"/>
        <w:rPr>
          <w:rFonts w:ascii="Arial" w:hAnsi="Arial" w:cs="Arial"/>
        </w:rPr>
      </w:pPr>
      <w:r>
        <w:rPr>
          <w:rFonts w:ascii="Arial" w:hAnsi="Arial" w:cs="Arial"/>
        </w:rPr>
        <w:t>Compiled by:</w:t>
      </w:r>
    </w:p>
    <w:p w:rsidR="00484DA0" w:rsidRDefault="00484DA0" w:rsidP="00484DA0">
      <w:pPr>
        <w:pStyle w:val="Default"/>
        <w:ind w:left="1134"/>
        <w:rPr>
          <w:rFonts w:ascii="Arial" w:hAnsi="Arial" w:cs="Arial"/>
        </w:rPr>
      </w:pPr>
    </w:p>
    <w:p w:rsidR="00484DA0" w:rsidRPr="00484DA0" w:rsidRDefault="00484DA0" w:rsidP="00484DA0">
      <w:pPr>
        <w:pStyle w:val="Default"/>
        <w:ind w:left="1134"/>
        <w:rPr>
          <w:rFonts w:ascii="Arial" w:hAnsi="Arial" w:cs="Arial"/>
          <w:b/>
        </w:rPr>
      </w:pPr>
      <w:r w:rsidRPr="00484DA0">
        <w:rPr>
          <w:rFonts w:ascii="Arial" w:hAnsi="Arial" w:cs="Arial"/>
          <w:b/>
        </w:rPr>
        <w:t>Ruth Martin</w:t>
      </w:r>
    </w:p>
    <w:p w:rsidR="00484DA0" w:rsidRDefault="00484DA0" w:rsidP="00484DA0">
      <w:pPr>
        <w:pStyle w:val="Default"/>
        <w:ind w:left="1134"/>
        <w:rPr>
          <w:rFonts w:ascii="Arial" w:hAnsi="Arial" w:cs="Arial"/>
        </w:rPr>
      </w:pPr>
      <w:r>
        <w:rPr>
          <w:rFonts w:ascii="Arial" w:hAnsi="Arial" w:cs="Arial"/>
        </w:rPr>
        <w:t>Staffordshire</w:t>
      </w:r>
    </w:p>
    <w:p w:rsidR="00484DA0" w:rsidRDefault="00484DA0" w:rsidP="00484DA0">
      <w:pPr>
        <w:pStyle w:val="Default"/>
        <w:ind w:left="1134"/>
        <w:rPr>
          <w:rFonts w:ascii="Arial" w:hAnsi="Arial" w:cs="Arial"/>
        </w:rPr>
      </w:pPr>
    </w:p>
    <w:p w:rsidR="00484DA0" w:rsidRDefault="00484DA0" w:rsidP="00484DA0">
      <w:pPr>
        <w:pStyle w:val="Default"/>
        <w:ind w:left="1134"/>
        <w:rPr>
          <w:rFonts w:ascii="Arial" w:hAnsi="Arial" w:cs="Arial"/>
        </w:rPr>
      </w:pPr>
      <w:r>
        <w:rPr>
          <w:rFonts w:ascii="Arial" w:hAnsi="Arial" w:cs="Arial"/>
        </w:rPr>
        <w:t xml:space="preserve">and </w:t>
      </w:r>
    </w:p>
    <w:p w:rsidR="00484DA0" w:rsidRDefault="00484DA0" w:rsidP="00484DA0">
      <w:pPr>
        <w:pStyle w:val="Default"/>
        <w:ind w:left="1134"/>
        <w:rPr>
          <w:rFonts w:ascii="Arial" w:hAnsi="Arial" w:cs="Arial"/>
        </w:rPr>
      </w:pPr>
    </w:p>
    <w:p w:rsidR="00484DA0" w:rsidRPr="00484DA0" w:rsidRDefault="00484DA0" w:rsidP="00484DA0">
      <w:pPr>
        <w:pStyle w:val="Default"/>
        <w:ind w:left="1134"/>
        <w:rPr>
          <w:rFonts w:ascii="Arial" w:hAnsi="Arial" w:cs="Arial"/>
          <w:b/>
        </w:rPr>
      </w:pPr>
      <w:r w:rsidRPr="00484DA0">
        <w:rPr>
          <w:rFonts w:ascii="Arial" w:hAnsi="Arial" w:cs="Arial"/>
          <w:b/>
        </w:rPr>
        <w:t>Sue Walton</w:t>
      </w:r>
    </w:p>
    <w:p w:rsidR="00484DA0" w:rsidRDefault="00484DA0" w:rsidP="00484DA0">
      <w:pPr>
        <w:pStyle w:val="Default"/>
        <w:ind w:left="1134"/>
        <w:rPr>
          <w:rFonts w:ascii="Arial" w:hAnsi="Arial" w:cs="Arial"/>
        </w:rPr>
      </w:pPr>
      <w:r>
        <w:rPr>
          <w:rFonts w:ascii="Arial" w:hAnsi="Arial" w:cs="Arial"/>
        </w:rPr>
        <w:t>Solihull</w:t>
      </w:r>
    </w:p>
    <w:p w:rsidR="001436B3" w:rsidRDefault="001436B3" w:rsidP="00484DA0">
      <w:pPr>
        <w:pStyle w:val="Default"/>
        <w:ind w:left="1134"/>
        <w:rPr>
          <w:rFonts w:ascii="Arial" w:hAnsi="Arial" w:cs="Arial"/>
        </w:rPr>
      </w:pPr>
    </w:p>
    <w:p w:rsidR="001436B3" w:rsidRPr="0009450A" w:rsidRDefault="001436B3" w:rsidP="00484DA0">
      <w:pPr>
        <w:pStyle w:val="Default"/>
        <w:ind w:left="1134"/>
        <w:rPr>
          <w:rFonts w:ascii="Arial" w:hAnsi="Arial" w:cs="Arial"/>
        </w:rPr>
      </w:pPr>
      <w:r>
        <w:rPr>
          <w:rFonts w:ascii="Arial" w:hAnsi="Arial" w:cs="Arial"/>
        </w:rPr>
        <w:t>16.09.20</w:t>
      </w:r>
    </w:p>
    <w:sectPr w:rsidR="001436B3" w:rsidRPr="0009450A" w:rsidSect="00484DA0">
      <w:pgSz w:w="11906" w:h="16838"/>
      <w:pgMar w:top="1440" w:right="1440" w:bottom="1440"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2FE2" w:rsidRDefault="006B2FE2" w:rsidP="008D2228">
      <w:pPr>
        <w:spacing w:after="0" w:line="240" w:lineRule="auto"/>
      </w:pPr>
      <w:r>
        <w:separator/>
      </w:r>
    </w:p>
  </w:endnote>
  <w:endnote w:type="continuationSeparator" w:id="0">
    <w:p w:rsidR="006B2FE2" w:rsidRDefault="006B2FE2" w:rsidP="008D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2FE2" w:rsidRDefault="006B2FE2" w:rsidP="008D2228">
      <w:pPr>
        <w:spacing w:after="0" w:line="240" w:lineRule="auto"/>
      </w:pPr>
      <w:r>
        <w:separator/>
      </w:r>
    </w:p>
  </w:footnote>
  <w:footnote w:type="continuationSeparator" w:id="0">
    <w:p w:rsidR="006B2FE2" w:rsidRDefault="006B2FE2" w:rsidP="008D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228" w:rsidRDefault="008D2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47FA7"/>
    <w:multiLevelType w:val="hybridMultilevel"/>
    <w:tmpl w:val="21BC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33678B"/>
    <w:multiLevelType w:val="hybridMultilevel"/>
    <w:tmpl w:val="3D88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4157DE"/>
    <w:multiLevelType w:val="hybridMultilevel"/>
    <w:tmpl w:val="561A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55662"/>
    <w:multiLevelType w:val="hybridMultilevel"/>
    <w:tmpl w:val="523E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26CEC"/>
    <w:multiLevelType w:val="hybridMultilevel"/>
    <w:tmpl w:val="C602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B1A5A"/>
    <w:multiLevelType w:val="hybridMultilevel"/>
    <w:tmpl w:val="48B01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AF10F1"/>
    <w:multiLevelType w:val="hybridMultilevel"/>
    <w:tmpl w:val="52E210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7A893F68"/>
    <w:multiLevelType w:val="hybridMultilevel"/>
    <w:tmpl w:val="70A8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163"/>
    <w:rsid w:val="0009450A"/>
    <w:rsid w:val="001436B3"/>
    <w:rsid w:val="001A317A"/>
    <w:rsid w:val="00203E47"/>
    <w:rsid w:val="002163B3"/>
    <w:rsid w:val="002534B5"/>
    <w:rsid w:val="00282B74"/>
    <w:rsid w:val="002C24BB"/>
    <w:rsid w:val="00332E5F"/>
    <w:rsid w:val="00392BC0"/>
    <w:rsid w:val="003F78D3"/>
    <w:rsid w:val="00402D70"/>
    <w:rsid w:val="00484DA0"/>
    <w:rsid w:val="00561914"/>
    <w:rsid w:val="00587152"/>
    <w:rsid w:val="005F60BD"/>
    <w:rsid w:val="005F63B4"/>
    <w:rsid w:val="00672163"/>
    <w:rsid w:val="00682908"/>
    <w:rsid w:val="006B2FE2"/>
    <w:rsid w:val="008D2228"/>
    <w:rsid w:val="00926B07"/>
    <w:rsid w:val="00932484"/>
    <w:rsid w:val="0099535D"/>
    <w:rsid w:val="00A36BD4"/>
    <w:rsid w:val="00A55078"/>
    <w:rsid w:val="00A5700A"/>
    <w:rsid w:val="00A91744"/>
    <w:rsid w:val="00AB74E0"/>
    <w:rsid w:val="00AD13C5"/>
    <w:rsid w:val="00AD4EDD"/>
    <w:rsid w:val="00AD61AB"/>
    <w:rsid w:val="00AF0832"/>
    <w:rsid w:val="00B00D57"/>
    <w:rsid w:val="00B10236"/>
    <w:rsid w:val="00B502FE"/>
    <w:rsid w:val="00B60374"/>
    <w:rsid w:val="00B71004"/>
    <w:rsid w:val="00C06818"/>
    <w:rsid w:val="00CB23DE"/>
    <w:rsid w:val="00CD2F06"/>
    <w:rsid w:val="00CF5C21"/>
    <w:rsid w:val="00D132A2"/>
    <w:rsid w:val="00D22C8F"/>
    <w:rsid w:val="00D4084D"/>
    <w:rsid w:val="00D742C9"/>
    <w:rsid w:val="00D92E79"/>
    <w:rsid w:val="00DE34A1"/>
    <w:rsid w:val="00E27BEB"/>
    <w:rsid w:val="00E73A44"/>
    <w:rsid w:val="00EE40B6"/>
    <w:rsid w:val="00F61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778A"/>
  <w15:chartTrackingRefBased/>
  <w15:docId w15:val="{B4F48A59-C561-4FFD-9899-8401E4E1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0A"/>
    <w:pPr>
      <w:ind w:left="720"/>
      <w:contextualSpacing/>
    </w:pPr>
  </w:style>
  <w:style w:type="character" w:styleId="Hyperlink">
    <w:name w:val="Hyperlink"/>
    <w:basedOn w:val="DefaultParagraphFont"/>
    <w:uiPriority w:val="99"/>
    <w:unhideWhenUsed/>
    <w:rsid w:val="00D4084D"/>
    <w:rPr>
      <w:color w:val="0563C1" w:themeColor="hyperlink"/>
      <w:u w:val="single"/>
    </w:rPr>
  </w:style>
  <w:style w:type="character" w:styleId="FollowedHyperlink">
    <w:name w:val="FollowedHyperlink"/>
    <w:basedOn w:val="DefaultParagraphFont"/>
    <w:uiPriority w:val="99"/>
    <w:semiHidden/>
    <w:unhideWhenUsed/>
    <w:rsid w:val="00D22C8F"/>
    <w:rPr>
      <w:color w:val="954F72" w:themeColor="followedHyperlink"/>
      <w:u w:val="single"/>
    </w:rPr>
  </w:style>
  <w:style w:type="paragraph" w:customStyle="1" w:styleId="Default">
    <w:name w:val="Default"/>
    <w:rsid w:val="00CB23DE"/>
    <w:pPr>
      <w:autoSpaceDE w:val="0"/>
      <w:autoSpaceDN w:val="0"/>
      <w:adjustRightInd w:val="0"/>
      <w:spacing w:after="0" w:line="240" w:lineRule="auto"/>
    </w:pPr>
    <w:rPr>
      <w:rFonts w:ascii="Berlin Sans FB Demi" w:hAnsi="Berlin Sans FB Demi" w:cs="Berlin Sans FB Demi"/>
      <w:color w:val="000000"/>
    </w:rPr>
  </w:style>
  <w:style w:type="table" w:styleId="TableGrid">
    <w:name w:val="Table Grid"/>
    <w:basedOn w:val="TableNormal"/>
    <w:uiPriority w:val="39"/>
    <w:rsid w:val="00B60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228"/>
  </w:style>
  <w:style w:type="paragraph" w:styleId="Footer">
    <w:name w:val="footer"/>
    <w:basedOn w:val="Normal"/>
    <w:link w:val="FooterChar"/>
    <w:uiPriority w:val="99"/>
    <w:unhideWhenUsed/>
    <w:rsid w:val="008D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hief-social-workers-for-adults-annual-report-2019-to-2020/chief-social-workers-annual-report-2019-to-2020" TargetMode="External"/><Relationship Id="rId18" Type="http://schemas.openxmlformats.org/officeDocument/2006/relationships/hyperlink" Target="https://www.luton.gov.uk/Community_and_living/Lists/LutonDocuments/PDF/Adult-exploitation-strategy.pdf" TargetMode="External"/><Relationship Id="rId26" Type="http://schemas.openxmlformats.org/officeDocument/2006/relationships/hyperlink" Target="https://www.researchinpractice.org.uk/media/2576/ripfa_a_brief_guide_to_sexual_exploitation_web_oct17.pdf" TargetMode="External"/><Relationship Id="rId39" Type="http://schemas.openxmlformats.org/officeDocument/2006/relationships/theme" Target="theme/theme1.xml"/><Relationship Id="rId21" Type="http://schemas.openxmlformats.org/officeDocument/2006/relationships/hyperlink" Target="http://www.saferwolverhampton.org.uk/documents/TVE%20Wolverhampton%20Strategy.pdf" TargetMode="External"/><Relationship Id="rId34" Type="http://schemas.openxmlformats.org/officeDocument/2006/relationships/footer" Target="footer1.xml"/><Relationship Id="rId7" Type="http://schemas.openxmlformats.org/officeDocument/2006/relationships/hyperlink" Target="https://www.researchinpractice.org.uk/all/news-views/2018/august/transitional-safeguarding-from-adolescence-to-adulthood/" TargetMode="External"/><Relationship Id="rId12" Type="http://schemas.openxmlformats.org/officeDocument/2006/relationships/hyperlink" Target="https://www.communitycare.co.uk/2020/03/24/exploitation-stop-18-chief-social-workers-highlight-gap-support-young-adult-victims/" TargetMode="External"/><Relationship Id="rId17" Type="http://schemas.openxmlformats.org/officeDocument/2006/relationships/hyperlink" Target="https://www2.harrow.gov.uk/documents/s156674/Community%20Safety%20VVE%20Strategy%20Annual%20Refresh%202019.pdf" TargetMode="External"/><Relationship Id="rId25" Type="http://schemas.openxmlformats.org/officeDocument/2006/relationships/hyperlink" Target="https://ssab.org.uk/media/upload/documents/NWG-Disruption-Toolkit-v3-1.pdf"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sepoliceandprevention.org.uk/sites/default/files/Boys%20and%20Young%20Men%20Toolkit.pdf" TargetMode="External"/><Relationship Id="rId20" Type="http://schemas.openxmlformats.org/officeDocument/2006/relationships/hyperlink" Target="https://www.manchestersafeguardingpartnership.co.uk/msp-complex-safeguarding-strategy-2020-2023-published/" TargetMode="External"/><Relationship Id="rId29" Type="http://schemas.openxmlformats.org/officeDocument/2006/relationships/hyperlink" Target="https://www.ssab.org.uk/professionals-practitioner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riminal-exploitation-of-children-and-vulnerable-adults-county-lines/criminal-exploitation-of-children-and-vulnerable-adults-county-lines" TargetMode="External"/><Relationship Id="rId24" Type="http://schemas.openxmlformats.org/officeDocument/2006/relationships/hyperlink" Target="https://www.csepoliceandprevention.org.uk/sites/default/files/Guidance%20App%20Language%20Toolkit.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nscb.org.uk/joint-serious-case-review-concerning-sexual-exploitation-newcastle" TargetMode="External"/><Relationship Id="rId23" Type="http://schemas.openxmlformats.org/officeDocument/2006/relationships/hyperlink" Target="https://www.newcastle.gov.uk/sites/default/files/Agenda%20Item%205%20-%20Expolitation%20Language%20Guidance.pdf" TargetMode="External"/><Relationship Id="rId28" Type="http://schemas.openxmlformats.org/officeDocument/2006/relationships/hyperlink" Target="https://herefordshiresafeguardingboards.org.uk/media/8381/varm-guidance-final.docx?bcsi_scan_3316d075d5e073ed=RWlsaseRSNfHklAr5EtMDCfi5u9FAAAAGFwbNg==:1" TargetMode="External"/><Relationship Id="rId36" Type="http://schemas.openxmlformats.org/officeDocument/2006/relationships/header" Target="header3.xml"/><Relationship Id="rId10" Type="http://schemas.openxmlformats.org/officeDocument/2006/relationships/hyperlink" Target="https://www.researchinpractice.org.uk/adults/publications/2018/march/sexual-exploitation-and-mental-health-frontline-briefing-2018/" TargetMode="External"/><Relationship Id="rId19" Type="http://schemas.openxmlformats.org/officeDocument/2006/relationships/hyperlink" Target="https://www.northumberland.gov.uk/NorthumberlandCountyCouncil/media/Child-Families/Safeguarding/Sexual-and-Criminal-Exploitation-Strategy-for-Northumberland-2019-2022-1.pdf" TargetMode="External"/><Relationship Id="rId31" Type="http://schemas.openxmlformats.org/officeDocument/2006/relationships/hyperlink" Target="https://westmidlands.procedures.org.uk/pkpzs/regional-safeguarding-guidance/children-affected-by-exploitation-and-trafficking-including-gangs" TargetMode="External"/><Relationship Id="rId4" Type="http://schemas.openxmlformats.org/officeDocument/2006/relationships/webSettings" Target="webSettings.xml"/><Relationship Id="rId9" Type="http://schemas.openxmlformats.org/officeDocument/2006/relationships/hyperlink" Target="https://www.researchinpractice.org.uk/adults/news-views/2018/may/the-quest-to-understand-the-sexual-exploitation-and-mental-health-of-adults/" TargetMode="External"/><Relationship Id="rId14" Type="http://schemas.openxmlformats.org/officeDocument/2006/relationships/hyperlink" Target="http://www.nwgnetwork.org/wp-content/uploads/2018/06/NWG-Report-Sexual-Exploitation-the-Journey-into-Adulthood-May-2018-1.pdf" TargetMode="External"/><Relationship Id="rId22" Type="http://schemas.openxmlformats.org/officeDocument/2006/relationships/hyperlink" Target="https://ssab.org.uk/publications/information-leaflets-83.php" TargetMode="External"/><Relationship Id="rId27" Type="http://schemas.openxmlformats.org/officeDocument/2006/relationships/hyperlink" Target="https://www.derbyshiresab.org.uk/professionals/vulnerable-adult-risk-management.aspx" TargetMode="External"/><Relationship Id="rId30" Type="http://schemas.openxmlformats.org/officeDocument/2006/relationships/hyperlink" Target="https://www.nscb.org.uk/sites/default/files/Sexual%20Exploitation%20Procedural%20flowchart%20Dec%202015.pdf" TargetMode="External"/><Relationship Id="rId35" Type="http://schemas.openxmlformats.org/officeDocument/2006/relationships/footer" Target="footer2.xml"/><Relationship Id="rId8" Type="http://schemas.openxmlformats.org/officeDocument/2006/relationships/hyperlink" Target="https://www.researchinpractice.org.uk/adults/news-views/2018/may/improving-awareness-of-sexual-exploitation-among-adul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Susan (Adult Social Care - Solihull MBC)</dc:creator>
  <cp:keywords/>
  <dc:description/>
  <cp:lastModifiedBy>Jo Ferguson</cp:lastModifiedBy>
  <cp:revision>1</cp:revision>
  <dcterms:created xsi:type="dcterms:W3CDTF">2021-05-11T14:31:00Z</dcterms:created>
  <dcterms:modified xsi:type="dcterms:W3CDTF">2021-05-11T14:31:00Z</dcterms:modified>
</cp:coreProperties>
</file>